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DDA8C1">
      <w:pPr>
        <w:pStyle w:val="13"/>
        <w:spacing w:before="156" w:after="156" w:line="240" w:lineRule="auto"/>
        <w:jc w:val="center"/>
        <w:rPr>
          <w:rFonts w:ascii="Times New Roman" w:hAnsi="Times New Roman"/>
          <w:kern w:val="0"/>
          <w:sz w:val="30"/>
          <w:szCs w:val="30"/>
        </w:rPr>
      </w:pPr>
      <w:r>
        <w:rPr>
          <w:rFonts w:hint="eastAsia" w:ascii="Times New Roman" w:hAnsi="Times New Roman"/>
          <w:kern w:val="0"/>
          <w:sz w:val="30"/>
          <w:szCs w:val="30"/>
        </w:rPr>
        <w:t>地标</w:t>
      </w:r>
      <w:r>
        <w:rPr>
          <w:rFonts w:ascii="Times New Roman" w:hAnsi="Times New Roman"/>
          <w:kern w:val="0"/>
          <w:sz w:val="30"/>
          <w:szCs w:val="30"/>
        </w:rPr>
        <w:t>《</w:t>
      </w:r>
      <w:r>
        <w:rPr>
          <w:rFonts w:hint="eastAsia" w:ascii="Times New Roman" w:hAnsi="Times New Roman"/>
          <w:kern w:val="0"/>
          <w:sz w:val="30"/>
          <w:szCs w:val="30"/>
        </w:rPr>
        <w:t>承压设备系统长期服役检查评定方法</w:t>
      </w:r>
      <w:r>
        <w:rPr>
          <w:rFonts w:ascii="Times New Roman" w:hAnsi="Times New Roman"/>
          <w:kern w:val="0"/>
          <w:sz w:val="30"/>
          <w:szCs w:val="30"/>
        </w:rPr>
        <w:t>》编制说明</w:t>
      </w:r>
    </w:p>
    <w:p w14:paraId="44D86BE7">
      <w:pPr>
        <w:widowControl/>
        <w:spacing w:line="560" w:lineRule="exact"/>
        <w:ind w:firstLine="640" w:firstLineChars="200"/>
        <w:jc w:val="left"/>
        <w:rPr>
          <w:rFonts w:hint="eastAsia" w:ascii="方正黑体_GBK" w:hAnsi="方正黑体_GBK" w:eastAsia="方正黑体_GBK" w:cs="方正黑体_GBK"/>
          <w:sz w:val="32"/>
          <w:szCs w:val="32"/>
        </w:rPr>
      </w:pPr>
      <w:r>
        <w:rPr>
          <w:rFonts w:hint="eastAsia" w:ascii="方正黑体_GBK" w:hAnsi="方正黑体_GBK" w:eastAsia="方正黑体_GBK" w:cs="方正黑体_GBK"/>
          <w:kern w:val="0"/>
          <w:sz w:val="32"/>
          <w:szCs w:val="32"/>
        </w:rPr>
        <w:t xml:space="preserve">一、目的意义 </w:t>
      </w:r>
    </w:p>
    <w:p w14:paraId="77B284C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1.产业发展现状</w:t>
      </w:r>
    </w:p>
    <w:p w14:paraId="62F47C0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承压设备（包含压力容器、压力管道、锅炉、气瓶等）是一类量大面广且具有爆炸风险的特种设备，</w:t>
      </w:r>
      <w:r>
        <w:rPr>
          <w:rFonts w:ascii="宋体" w:hAnsi="宋体" w:eastAsia="宋体" w:cs="宋体"/>
          <w:sz w:val="24"/>
          <w:szCs w:val="24"/>
        </w:rPr>
        <w:t>是石油</w:t>
      </w:r>
      <w:r>
        <w:rPr>
          <w:rFonts w:hint="eastAsia" w:ascii="宋体" w:hAnsi="宋体" w:eastAsia="宋体" w:cs="宋体"/>
          <w:sz w:val="24"/>
          <w:szCs w:val="24"/>
        </w:rPr>
        <w:t>化工、能源电力、交通运输、城市燃气</w:t>
      </w:r>
      <w:r>
        <w:rPr>
          <w:rFonts w:ascii="宋体" w:hAnsi="宋体" w:eastAsia="宋体" w:cs="宋体"/>
          <w:sz w:val="24"/>
          <w:szCs w:val="24"/>
        </w:rPr>
        <w:t>等国民经济支柱</w:t>
      </w:r>
      <w:r>
        <w:rPr>
          <w:rFonts w:hint="eastAsia" w:ascii="宋体" w:hAnsi="宋体" w:eastAsia="宋体" w:cs="宋体"/>
          <w:sz w:val="24"/>
          <w:szCs w:val="24"/>
        </w:rPr>
        <w:t>产</w:t>
      </w:r>
      <w:r>
        <w:rPr>
          <w:rFonts w:ascii="宋体" w:hAnsi="宋体" w:eastAsia="宋体" w:cs="宋体"/>
          <w:sz w:val="24"/>
          <w:szCs w:val="24"/>
        </w:rPr>
        <w:t>业</w:t>
      </w:r>
      <w:r>
        <w:rPr>
          <w:rFonts w:hint="eastAsia" w:ascii="宋体" w:hAnsi="宋体" w:eastAsia="宋体" w:cs="宋体"/>
          <w:sz w:val="24"/>
          <w:szCs w:val="24"/>
        </w:rPr>
        <w:t>和民生保障</w:t>
      </w:r>
      <w:r>
        <w:rPr>
          <w:rFonts w:ascii="宋体" w:hAnsi="宋体" w:eastAsia="宋体" w:cs="宋体"/>
          <w:sz w:val="24"/>
          <w:szCs w:val="24"/>
        </w:rPr>
        <w:t>的重要</w:t>
      </w:r>
      <w:r>
        <w:rPr>
          <w:rFonts w:hint="eastAsia" w:ascii="宋体" w:hAnsi="宋体" w:eastAsia="宋体" w:cs="宋体"/>
          <w:sz w:val="24"/>
          <w:szCs w:val="24"/>
        </w:rPr>
        <w:t>基础设施，覆盖石油天然气加工、煤化工、精细化工、电力、新能源、半导体、钢铁等领域。在中共中央、国务院〔2017〕24号《关于开展质量提升行动的指导意见》文件中，特种设备与国产大飞机、高铁、核电设备等高端装备并列。承压类特种设备往往在高温、高压、有毒、强腐蚀介质环境下运行，必然存在着与时间相关的复杂失效机制与失效模式（应力腐蚀、蠕变疲劳交互作用等），设计制造阶段难以避免所有的失效风险，在役阶段针对各种失效模式的检测手段和“合于使用评价”技术则是确保承压设备长周期使用安全的不可或缺的唯一手段。</w:t>
      </w:r>
    </w:p>
    <w:p w14:paraId="3274389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我国石油化学工业在上世纪八十年代进入快速发展期用</w:t>
      </w:r>
      <w:r>
        <w:rPr>
          <w:rFonts w:ascii="宋体" w:hAnsi="宋体" w:eastAsia="宋体" w:cs="宋体"/>
          <w:sz w:val="24"/>
          <w:szCs w:val="24"/>
        </w:rPr>
        <w:t>20年时间，到2000年发展形成配套完整的工业体系，奠定了世界化工大国基础。这一时期建设上马的化工装置已运行超过20年甚至30年</w:t>
      </w:r>
      <w:r>
        <w:rPr>
          <w:rFonts w:hint="eastAsia" w:ascii="宋体" w:hAnsi="宋体" w:eastAsia="宋体" w:cs="宋体"/>
          <w:sz w:val="24"/>
          <w:szCs w:val="24"/>
        </w:rPr>
        <w:t>。随着装备</w:t>
      </w:r>
      <w:r>
        <w:rPr>
          <w:rFonts w:ascii="宋体" w:hAnsi="宋体" w:eastAsia="宋体" w:cs="宋体"/>
          <w:sz w:val="24"/>
          <w:szCs w:val="24"/>
        </w:rPr>
        <w:t>运行年限增加</w:t>
      </w:r>
      <w:r>
        <w:rPr>
          <w:rFonts w:hint="eastAsia" w:ascii="宋体" w:hAnsi="宋体" w:eastAsia="宋体" w:cs="宋体"/>
          <w:sz w:val="24"/>
          <w:szCs w:val="24"/>
        </w:rPr>
        <w:t>、</w:t>
      </w:r>
      <w:r>
        <w:rPr>
          <w:rFonts w:ascii="宋体" w:hAnsi="宋体" w:eastAsia="宋体" w:cs="宋体"/>
          <w:sz w:val="24"/>
          <w:szCs w:val="24"/>
        </w:rPr>
        <w:t>原油</w:t>
      </w:r>
      <w:r>
        <w:rPr>
          <w:rFonts w:hint="eastAsia" w:ascii="宋体" w:hAnsi="宋体" w:eastAsia="宋体" w:cs="宋体"/>
          <w:sz w:val="24"/>
          <w:szCs w:val="24"/>
        </w:rPr>
        <w:t>品质劣化、绿色减排对装置超长期服役的要求，导致复杂腐蚀环境、极端服役条件引起设备材质劣化</w:t>
      </w:r>
      <w:r>
        <w:rPr>
          <w:rFonts w:ascii="宋体" w:hAnsi="宋体" w:eastAsia="宋体" w:cs="宋体"/>
          <w:sz w:val="24"/>
          <w:szCs w:val="24"/>
        </w:rPr>
        <w:t>与多种复杂失效</w:t>
      </w:r>
      <w:r>
        <w:rPr>
          <w:rFonts w:hint="eastAsia" w:ascii="宋体" w:hAnsi="宋体" w:eastAsia="宋体" w:cs="宋体"/>
          <w:sz w:val="24"/>
          <w:szCs w:val="24"/>
        </w:rPr>
        <w:t>机</w:t>
      </w:r>
      <w:r>
        <w:rPr>
          <w:rFonts w:ascii="宋体" w:hAnsi="宋体" w:eastAsia="宋体" w:cs="宋体"/>
          <w:sz w:val="24"/>
          <w:szCs w:val="24"/>
        </w:rPr>
        <w:t>制交互作用下的损伤与缺陷</w:t>
      </w:r>
      <w:r>
        <w:rPr>
          <w:rFonts w:hint="eastAsia" w:ascii="宋体" w:hAnsi="宋体" w:eastAsia="宋体" w:cs="宋体"/>
          <w:sz w:val="24"/>
          <w:szCs w:val="24"/>
        </w:rPr>
        <w:t>萌生</w:t>
      </w:r>
      <w:r>
        <w:rPr>
          <w:rFonts w:ascii="宋体" w:hAnsi="宋体" w:eastAsia="宋体" w:cs="宋体"/>
          <w:sz w:val="24"/>
          <w:szCs w:val="24"/>
        </w:rPr>
        <w:t>等突出问题</w:t>
      </w:r>
      <w:r>
        <w:rPr>
          <w:rFonts w:hint="eastAsia" w:ascii="宋体" w:hAnsi="宋体" w:eastAsia="宋体" w:cs="宋体"/>
          <w:sz w:val="24"/>
          <w:szCs w:val="24"/>
        </w:rPr>
        <w:t>，成为安全生产的主要矛盾。同时，老旧装置多次修理改造后，资料缺失、账物不符情况突出，特别是材质不明或材质误用造成潜在严重事故隐患。</w:t>
      </w:r>
    </w:p>
    <w:p w14:paraId="51F6EED1">
      <w:pPr>
        <w:spacing w:line="360" w:lineRule="auto"/>
        <w:ind w:firstLine="480" w:firstLineChars="200"/>
        <w:rPr>
          <w:rFonts w:hint="eastAsia" w:ascii="宋体" w:hAnsi="宋体" w:eastAsia="宋体" w:cs="宋体"/>
          <w:sz w:val="24"/>
          <w:szCs w:val="24"/>
        </w:rPr>
      </w:pPr>
      <w:r>
        <w:rPr>
          <w:rFonts w:ascii="宋体" w:hAnsi="宋体" w:eastAsia="宋体" w:cs="宋体"/>
          <w:sz w:val="24"/>
          <w:szCs w:val="24"/>
        </w:rPr>
        <w:t>2000年以来，国内以损伤模式识别、基于风险的检验、合于使用评价技术为代表的在役承压设备安全评估技术体系日益成熟，成为确保承压设备长周期使用安全、支撑隐患排查和安全监管的重要技术方法，并被特种设备安全技术规范TSG21-2016《固定式压力容器安全技术监察规程》、TSG D7005-2018《压力管道定期检验规则-工业管道》等采纳。</w:t>
      </w:r>
    </w:p>
    <w:p w14:paraId="671D7EE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该标准是我国承压设备安全标准体系的有益补充，其应用领域包括勘探开发、运输储存、生产使用等产业上中下游全领域的成套装置压力容器和压力管道，尤其是加氢反应器等重大装备。本标准为落实习近平总书记“全面排查各类安全隐患”重要指示提供重要支撑，为特种设备安全技术规范落地应用提供技术依据，有力支撑安全监管和近年来事故率持续下降。</w:t>
      </w:r>
    </w:p>
    <w:p w14:paraId="0680585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2.必要性</w:t>
      </w:r>
    </w:p>
    <w:p w14:paraId="4E2B506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压力容器和压力管道是承压设备系统关键设备，属于国家纳入《特种设备目录》监管的特种设备。历史数据看，压力容器万台事故率和死亡率稳中有降，2021年分别为0.02和0.03，但2021年压力容器事故上升趋势明显。2021年全国发生压力容器事故7起、死亡11人，2022年初步统计全国压力容器事故数同比持平。2020年，快开门压力容器事故频发，使得事故起数和死亡人数大幅增加。2021年上海石化5.29压力管道燃爆事故、应急部挂牌督办的2023年辽宁盘锦浩业化工1.15火灾造成13人死亡，35人受伤的重大事故等，都涉及石承压设备系统，部分为长期服役的老旧装置，例如上海石化5.29压力管道燃爆事故，所属乙烯装置已经运行30多年，且经过多次改造。承压类特种设备安全形势总体平稳，但老旧设备运行累积风险不容忽视。这些事故，充分暴露出部分承压设备系统的安全风险管控不到位、尤其是承压设备长期服役本质安全水平低等突出问题，具体表现在使用单位设备管理人员对长期服役的压力容器和压力管道损伤程度认识严重不足，检维修针对性不够，出现问题无法有效诊断和科学评估。因此从本质安全需求出发，目前急需对承压设备系统的安全评估给出规范的、可量化且可操作的要求与规定。随着防范化解重大安全风险的要求越来越严，精准化要求越来越高，承压设备系统长期服役的安全风险逐步引起全行业特别是监管部门的高度关注</w:t>
      </w:r>
      <w:r>
        <w:rPr>
          <w:rFonts w:ascii="宋体" w:hAnsi="宋体" w:eastAsia="宋体" w:cs="宋体"/>
          <w:sz w:val="24"/>
          <w:szCs w:val="24"/>
        </w:rPr>
        <w:t>。2022年国务院安委办配套印发了《 危险化学品生产使用企业老旧装置安全风险防控专项整治工作方案，同年市场监管总局发布《特种设备安全监督检查办法》（总局57号令），应急管理部下发了《危险化学品生产使用企业老旧装置安全风险评估指南》（试行），这些规章和指南，采用列出具体情形条款进行隐患研判或对法规、规范相关条款执行情况进行管理打分等定性方法进行评估。针对</w:t>
      </w:r>
      <w:r>
        <w:rPr>
          <w:rFonts w:hint="eastAsia" w:ascii="宋体" w:hAnsi="宋体" w:eastAsia="宋体" w:cs="宋体"/>
          <w:sz w:val="24"/>
          <w:szCs w:val="24"/>
        </w:rPr>
        <w:t>承压设备系统长期服役</w:t>
      </w:r>
      <w:r>
        <w:rPr>
          <w:rFonts w:ascii="宋体" w:hAnsi="宋体" w:eastAsia="宋体" w:cs="宋体"/>
          <w:sz w:val="24"/>
          <w:szCs w:val="24"/>
        </w:rPr>
        <w:t>的实际运行损伤及其严重程度，还缺乏具体可操作、可量</w:t>
      </w:r>
      <w:r>
        <w:rPr>
          <w:rFonts w:hint="eastAsia" w:ascii="宋体" w:hAnsi="宋体" w:eastAsia="宋体" w:cs="宋体"/>
          <w:sz w:val="24"/>
          <w:szCs w:val="24"/>
        </w:rPr>
        <w:t>化的工程安全评估的方法指南，本标准旨在解决这个问题，落实精准研判和防控老旧装置严重隐患等安全风险的要求。</w:t>
      </w:r>
    </w:p>
    <w:p w14:paraId="75FB3B3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标准编制的目的在于解决承压设备系统无设计规范、无设计寿命、设计偏离或设计对实际使用环境损伤模式考虑不足、超期服役等问题，通过排查承压设备系统长期服役安全隐患，评估安全状况，预测剩余寿命，为设备继续运行或改造、维修、报废、更换等决策提供依据 。</w:t>
      </w:r>
    </w:p>
    <w:p w14:paraId="4CF9A79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3.可行性</w:t>
      </w:r>
    </w:p>
    <w:p w14:paraId="7F0B36F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标准主要技术内容采用的技术方法，例如基于腐蚀回路的成套装置损伤模式分析方法、基于损伤模式的检验技术，针对不同损伤模式和缺陷的工程简化筛选评价方法，尤其是针对材质劣化损伤如球化、石墨化、回火脆、</w:t>
      </w:r>
      <w:r>
        <w:rPr>
          <w:rFonts w:hint="eastAsia" w:ascii="宋体" w:hAnsi="宋体" w:eastAsia="宋体" w:cs="宋体"/>
          <w:sz w:val="24"/>
          <w:szCs w:val="24"/>
          <w:lang w:val="en-US" w:eastAsia="zh-CN"/>
        </w:rPr>
        <w:t>σ</w:t>
      </w:r>
      <w:r>
        <w:rPr>
          <w:rFonts w:hint="eastAsia" w:ascii="宋体" w:hAnsi="宋体" w:eastAsia="宋体" w:cs="宋体"/>
          <w:sz w:val="24"/>
          <w:szCs w:val="24"/>
        </w:rPr>
        <w:t>相脆化、渗碳、敏化，以及蠕变、疲劳、高温氢腐蚀等损伤的量化分级评价方法，基于塑性极限载荷准则或断裂准则的更高等级的合于使用评价技术，均依据现行国家和行业标准以及多年积累的工程经验，用户可直接对照本标准条款使用，兼具科学性和可操作性。</w:t>
      </w:r>
    </w:p>
    <w:p w14:paraId="33C23B4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标准牵头起草单位南京工业大学是首批入选国家“高等学校创新能力提升计划”（2011计划）高校，是江苏高水平大学建设高峰计划A类建设高校，学校具有雄厚的科研实力，设有材料化学工程国家重点实验室、国家生化工程技术研究中心、国家特种分离膜工程技术研究中心等国家级科研平台7个，省部级研究中心32个，省部级重点实验室27个；本标准主要起草单位</w:t>
      </w:r>
      <w:r>
        <w:rPr>
          <w:rFonts w:ascii="宋体" w:hAnsi="宋体" w:eastAsia="宋体" w:cs="宋体"/>
          <w:sz w:val="24"/>
          <w:szCs w:val="24"/>
        </w:rPr>
        <w:t>江苏省特种设备安全监督检验研究院是江苏省特种设备安全检验与节能标准化技术委员会秘书处承担单位</w:t>
      </w:r>
      <w:r>
        <w:rPr>
          <w:rFonts w:hint="eastAsia" w:ascii="宋体" w:hAnsi="宋体" w:eastAsia="宋体" w:cs="宋体"/>
          <w:sz w:val="24"/>
          <w:szCs w:val="24"/>
        </w:rPr>
        <w:t>，与其他起草单位中的检验机构在承压类特种设备领域的</w:t>
      </w:r>
      <w:r>
        <w:rPr>
          <w:rFonts w:ascii="宋体" w:hAnsi="宋体" w:eastAsia="宋体" w:cs="宋体"/>
          <w:sz w:val="24"/>
          <w:szCs w:val="24"/>
        </w:rPr>
        <w:t>新技术研发及转化、检验检测、风险评估、安全评定、合于使用评价等工程</w:t>
      </w:r>
      <w:r>
        <w:rPr>
          <w:rFonts w:hint="eastAsia" w:ascii="宋体" w:hAnsi="宋体" w:eastAsia="宋体" w:cs="宋体"/>
          <w:sz w:val="24"/>
          <w:szCs w:val="24"/>
        </w:rPr>
        <w:t>技术服务方面处于国内领先地位，初步估算年产值合计接近3个亿，每年主导发布各类国家和行业、地方标准30余项，近五年来已累计制修订标准约200项。各主要</w:t>
      </w:r>
      <w:r>
        <w:rPr>
          <w:rFonts w:ascii="宋体" w:hAnsi="宋体" w:eastAsia="宋体" w:cs="宋体"/>
          <w:sz w:val="24"/>
          <w:szCs w:val="24"/>
        </w:rPr>
        <w:t>完成单位均主要从事承压类特种设备理论研究、新技术研发及转化、检验检测、风险评估、安全评定、合于使用评价等工程和教学科研工作，且在国内该领域技术领先，优势互补，有标准项目经费保障。</w:t>
      </w:r>
    </w:p>
    <w:p w14:paraId="687B1CB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4.预期效益</w:t>
      </w:r>
    </w:p>
    <w:p w14:paraId="4AFD2E8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标准将为使用单位超设计使用年限使用的承压设备处理、特种设备安全技术规范落地应用等提供管理决策，减少事故停产损失；为提升我国能源企业设备管理和政府安全监管水平提供重要技术支持，避免更新设备制造过程中大量碳排放以及缺陷造成泄漏的环境污染。</w:t>
      </w:r>
    </w:p>
    <w:p w14:paraId="63D19E2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经济效益看，南京工业大学、</w:t>
      </w:r>
      <w:r>
        <w:rPr>
          <w:rFonts w:ascii="宋体" w:hAnsi="宋体" w:eastAsia="宋体" w:cs="宋体"/>
          <w:sz w:val="24"/>
          <w:szCs w:val="24"/>
        </w:rPr>
        <w:t>江苏省特种设备安全监督检验研究院</w:t>
      </w:r>
      <w:r>
        <w:rPr>
          <w:rFonts w:hint="eastAsia" w:ascii="宋体" w:hAnsi="宋体" w:eastAsia="宋体" w:cs="宋体"/>
          <w:sz w:val="24"/>
          <w:szCs w:val="24"/>
        </w:rPr>
        <w:t>、南京市锅炉压力容器检验研究院等作为标准主要起草单位，初步统计在2</w:t>
      </w:r>
      <w:r>
        <w:rPr>
          <w:rFonts w:ascii="宋体" w:hAnsi="宋体" w:eastAsia="宋体" w:cs="宋体"/>
          <w:sz w:val="24"/>
          <w:szCs w:val="24"/>
        </w:rPr>
        <w:t>018</w:t>
      </w:r>
      <w:r>
        <w:rPr>
          <w:rFonts w:hint="eastAsia" w:ascii="宋体" w:hAnsi="宋体" w:eastAsia="宋体" w:cs="宋体"/>
          <w:sz w:val="24"/>
          <w:szCs w:val="24"/>
        </w:rPr>
        <w:t>年</w:t>
      </w:r>
      <w:r>
        <w:rPr>
          <w:rFonts w:ascii="宋体" w:hAnsi="宋体" w:eastAsia="宋体" w:cs="宋体"/>
          <w:sz w:val="24"/>
          <w:szCs w:val="24"/>
        </w:rPr>
        <w:t>-2022</w:t>
      </w:r>
      <w:r>
        <w:rPr>
          <w:rFonts w:hint="eastAsia" w:ascii="宋体" w:hAnsi="宋体" w:eastAsia="宋体" w:cs="宋体"/>
          <w:sz w:val="24"/>
          <w:szCs w:val="24"/>
        </w:rPr>
        <w:t>年对中石油、中石化等大型石化企业成套装置承压设备开展了定期检验、基于风险的检验及安全评价等工作，累积开展相关工程项目近百项，累计实现技术服务收入数亿元。本标准的颁布实施，将有力支撑承压设备系统长期服役在役损伤的检验定级、风险评估及合于使用评价，按老旧装置占比20%保守估算，预期每年</w:t>
      </w:r>
      <w:r>
        <w:rPr>
          <w:rFonts w:hint="eastAsia" w:ascii="宋体" w:hAnsi="宋体" w:eastAsia="宋体" w:cs="宋体"/>
          <w:sz w:val="24"/>
          <w:szCs w:val="24"/>
          <w:lang w:val="en-US" w:eastAsia="zh-CN"/>
        </w:rPr>
        <w:t>形成经济增效为</w:t>
      </w:r>
      <w:r>
        <w:rPr>
          <w:rFonts w:hint="eastAsia" w:ascii="宋体" w:hAnsi="宋体" w:eastAsia="宋体" w:cs="宋体"/>
          <w:sz w:val="24"/>
          <w:szCs w:val="24"/>
        </w:rPr>
        <w:t>6千万元。石化企业通过本标准的应用，可以准确判断含缺陷/损伤设备能否继续安全服役，消除大量承压设备安全隐患，避免不必要的返修和更换给企业带来的经济损失，降低设备维修更换成本和大量检验检修费用；基于剩余寿命调整设备定期检验周期，为使用单位超设计使用年限使用的压力容器处理、合理规划运行周期、停机不开罐检验或在线检验应用等提供管理决策，将装置的检修周期从四年延长至五年甚至更长，缩短停工检验检修周期；减少设备非计划停车的次数，实现承压设备由定时维修向预知维修的管理模式的重大转变。</w:t>
      </w:r>
    </w:p>
    <w:p w14:paraId="2035F2E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社会效益看，本</w:t>
      </w:r>
      <w:r>
        <w:rPr>
          <w:rFonts w:ascii="宋体" w:hAnsi="宋体" w:eastAsia="宋体" w:cs="宋体"/>
          <w:sz w:val="24"/>
          <w:szCs w:val="24"/>
        </w:rPr>
        <w:t>标准的研究制定，</w:t>
      </w:r>
      <w:r>
        <w:rPr>
          <w:rFonts w:hint="eastAsia" w:ascii="宋体" w:hAnsi="宋体" w:eastAsia="宋体" w:cs="宋体"/>
          <w:sz w:val="24"/>
          <w:szCs w:val="24"/>
        </w:rPr>
        <w:t>将</w:t>
      </w:r>
      <w:r>
        <w:rPr>
          <w:rFonts w:ascii="宋体" w:hAnsi="宋体" w:eastAsia="宋体" w:cs="宋体"/>
          <w:sz w:val="24"/>
          <w:szCs w:val="24"/>
        </w:rPr>
        <w:t>填补国内相应技术领域</w:t>
      </w:r>
      <w:r>
        <w:rPr>
          <w:rFonts w:hint="eastAsia" w:ascii="宋体" w:hAnsi="宋体" w:eastAsia="宋体" w:cs="宋体"/>
          <w:sz w:val="24"/>
          <w:szCs w:val="24"/>
        </w:rPr>
        <w:t>的地方</w:t>
      </w:r>
      <w:r>
        <w:rPr>
          <w:rFonts w:ascii="宋体" w:hAnsi="宋体" w:eastAsia="宋体" w:cs="宋体"/>
          <w:sz w:val="24"/>
          <w:szCs w:val="24"/>
        </w:rPr>
        <w:t>标准空白，</w:t>
      </w:r>
      <w:r>
        <w:rPr>
          <w:rFonts w:hint="eastAsia" w:ascii="宋体" w:hAnsi="宋体" w:eastAsia="宋体" w:cs="宋体"/>
          <w:sz w:val="24"/>
          <w:szCs w:val="24"/>
        </w:rPr>
        <w:t>健全我国承压设备安全评价从国家标准、行业标准和地方标准不同层级体系，为</w:t>
      </w:r>
      <w:r>
        <w:rPr>
          <w:rFonts w:ascii="宋体" w:hAnsi="宋体" w:eastAsia="宋体" w:cs="宋体"/>
          <w:sz w:val="24"/>
          <w:szCs w:val="24"/>
        </w:rPr>
        <w:t>我国承压设备系统由</w:t>
      </w:r>
      <w:r>
        <w:rPr>
          <w:rFonts w:hint="eastAsia" w:ascii="宋体" w:hAnsi="宋体" w:eastAsia="宋体" w:cs="宋体"/>
          <w:sz w:val="24"/>
          <w:szCs w:val="24"/>
        </w:rPr>
        <w:t>定时维修</w:t>
      </w:r>
      <w:r>
        <w:rPr>
          <w:rFonts w:ascii="宋体" w:hAnsi="宋体" w:eastAsia="宋体" w:cs="宋体"/>
          <w:sz w:val="24"/>
          <w:szCs w:val="24"/>
        </w:rPr>
        <w:t>管理方式向</w:t>
      </w:r>
      <w:r>
        <w:rPr>
          <w:rFonts w:hint="eastAsia" w:ascii="宋体" w:hAnsi="宋体" w:eastAsia="宋体" w:cs="宋体"/>
          <w:sz w:val="24"/>
          <w:szCs w:val="24"/>
        </w:rPr>
        <w:t>事前维修</w:t>
      </w:r>
      <w:r>
        <w:rPr>
          <w:rFonts w:ascii="宋体" w:hAnsi="宋体" w:eastAsia="宋体" w:cs="宋体"/>
          <w:sz w:val="24"/>
          <w:szCs w:val="24"/>
        </w:rPr>
        <w:t>管理的重大转变</w:t>
      </w:r>
      <w:r>
        <w:rPr>
          <w:rFonts w:hint="eastAsia" w:ascii="宋体" w:hAnsi="宋体" w:eastAsia="宋体" w:cs="宋体"/>
          <w:sz w:val="24"/>
          <w:szCs w:val="24"/>
        </w:rPr>
        <w:t>提供支撑，为特种设备安全技术规范应用落地提供技术依据，助力安全监管，为事故持续下降做出贡献</w:t>
      </w:r>
      <w:r>
        <w:rPr>
          <w:rFonts w:ascii="宋体" w:hAnsi="宋体" w:eastAsia="宋体" w:cs="宋体"/>
          <w:sz w:val="24"/>
          <w:szCs w:val="24"/>
        </w:rPr>
        <w:t>。</w:t>
      </w:r>
    </w:p>
    <w:p w14:paraId="42A6D7F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从生态效益看，随着节能环保法规要求的不断提高</w:t>
      </w:r>
      <w:r>
        <w:rPr>
          <w:rFonts w:ascii="宋体" w:hAnsi="宋体" w:eastAsia="宋体" w:cs="宋体"/>
          <w:sz w:val="24"/>
          <w:szCs w:val="24"/>
        </w:rPr>
        <w:t>，</w:t>
      </w:r>
      <w:r>
        <w:rPr>
          <w:rFonts w:hint="eastAsia" w:ascii="宋体" w:hAnsi="宋体" w:eastAsia="宋体" w:cs="宋体"/>
          <w:sz w:val="24"/>
          <w:szCs w:val="24"/>
        </w:rPr>
        <w:t>在石油天然气集输、存储等上游及石化下游领域</w:t>
      </w:r>
      <w:r>
        <w:rPr>
          <w:rFonts w:ascii="宋体" w:hAnsi="宋体" w:eastAsia="宋体" w:cs="宋体"/>
          <w:sz w:val="24"/>
          <w:szCs w:val="24"/>
        </w:rPr>
        <w:t>，</w:t>
      </w:r>
      <w:r>
        <w:rPr>
          <w:rFonts w:hint="eastAsia" w:ascii="宋体" w:hAnsi="宋体" w:eastAsia="宋体" w:cs="宋体"/>
          <w:sz w:val="24"/>
          <w:szCs w:val="24"/>
        </w:rPr>
        <w:t>天然气球罐、加氢反应器、PTA结晶器等大型重装备介质含硫化氢、苯类等易燃、有毒危险化学品，泄漏会引起的地下水和江河污染</w:t>
      </w:r>
      <w:r>
        <w:rPr>
          <w:rFonts w:ascii="宋体" w:hAnsi="宋体" w:eastAsia="宋体" w:cs="宋体"/>
          <w:sz w:val="24"/>
          <w:szCs w:val="24"/>
        </w:rPr>
        <w:t>，</w:t>
      </w:r>
      <w:r>
        <w:rPr>
          <w:rFonts w:hint="eastAsia" w:ascii="宋体" w:hAnsi="宋体" w:eastAsia="宋体" w:cs="宋体"/>
          <w:sz w:val="24"/>
          <w:szCs w:val="24"/>
        </w:rPr>
        <w:t>以及土壤</w:t>
      </w:r>
      <w:r>
        <w:rPr>
          <w:rFonts w:ascii="宋体" w:hAnsi="宋体" w:eastAsia="宋体" w:cs="宋体"/>
          <w:sz w:val="24"/>
          <w:szCs w:val="24"/>
        </w:rPr>
        <w:t>、</w:t>
      </w:r>
      <w:r>
        <w:rPr>
          <w:rFonts w:hint="eastAsia" w:ascii="宋体" w:hAnsi="宋体" w:eastAsia="宋体" w:cs="宋体"/>
          <w:sz w:val="24"/>
          <w:szCs w:val="24"/>
        </w:rPr>
        <w:t>大气等环境污染。应用本标准的合于使用评价等安全评估核心技术</w:t>
      </w:r>
      <w:r>
        <w:rPr>
          <w:rFonts w:ascii="宋体" w:hAnsi="宋体" w:eastAsia="宋体" w:cs="宋体"/>
          <w:sz w:val="24"/>
          <w:szCs w:val="24"/>
        </w:rPr>
        <w:t>，</w:t>
      </w:r>
      <w:r>
        <w:rPr>
          <w:rFonts w:hint="eastAsia" w:ascii="宋体" w:hAnsi="宋体" w:eastAsia="宋体" w:cs="宋体"/>
          <w:sz w:val="24"/>
          <w:szCs w:val="24"/>
        </w:rPr>
        <w:t>可以对这些存在的裂纹等超标缺陷、含损伤或超期服役在役大型关键设备进行科学客观的安全评估。这些设备通过评价后大多将不用更换，继续服役，避免更新设备制造过程中大量碳排放以及缺陷造成泄漏的环境污染</w:t>
      </w:r>
      <w:r>
        <w:rPr>
          <w:rFonts w:ascii="宋体" w:hAnsi="宋体" w:eastAsia="宋体" w:cs="宋体"/>
          <w:sz w:val="24"/>
          <w:szCs w:val="24"/>
        </w:rPr>
        <w:t>。</w:t>
      </w:r>
      <w:r>
        <w:rPr>
          <w:rFonts w:hint="eastAsia" w:ascii="宋体" w:hAnsi="宋体" w:eastAsia="宋体" w:cs="宋体"/>
          <w:sz w:val="24"/>
          <w:szCs w:val="24"/>
        </w:rPr>
        <w:t>同时，以氢能</w:t>
      </w:r>
      <w:r>
        <w:rPr>
          <w:rFonts w:ascii="宋体" w:hAnsi="宋体" w:eastAsia="宋体" w:cs="宋体"/>
          <w:sz w:val="24"/>
          <w:szCs w:val="24"/>
        </w:rPr>
        <w:t>、</w:t>
      </w:r>
      <w:r>
        <w:rPr>
          <w:rFonts w:hint="eastAsia" w:ascii="宋体" w:hAnsi="宋体" w:eastAsia="宋体" w:cs="宋体"/>
          <w:sz w:val="24"/>
          <w:szCs w:val="24"/>
        </w:rPr>
        <w:t>光热等为代表的洁净新能源的发展占据重要战略地位</w:t>
      </w:r>
      <w:r>
        <w:rPr>
          <w:rFonts w:ascii="宋体" w:hAnsi="宋体" w:eastAsia="宋体" w:cs="宋体"/>
          <w:sz w:val="24"/>
          <w:szCs w:val="24"/>
        </w:rPr>
        <w:t>，</w:t>
      </w:r>
      <w:r>
        <w:rPr>
          <w:rFonts w:hint="eastAsia" w:ascii="宋体" w:hAnsi="宋体" w:eastAsia="宋体" w:cs="宋体"/>
          <w:sz w:val="24"/>
          <w:szCs w:val="24"/>
        </w:rPr>
        <w:t>这些新能源领域，应用本标准相关技术成果开展检验评价工作</w:t>
      </w:r>
      <w:r>
        <w:rPr>
          <w:rFonts w:ascii="宋体" w:hAnsi="宋体" w:eastAsia="宋体" w:cs="宋体"/>
          <w:sz w:val="24"/>
          <w:szCs w:val="24"/>
        </w:rPr>
        <w:t>，</w:t>
      </w:r>
      <w:r>
        <w:rPr>
          <w:rFonts w:hint="eastAsia" w:ascii="宋体" w:hAnsi="宋体" w:eastAsia="宋体" w:cs="宋体"/>
          <w:sz w:val="24"/>
          <w:szCs w:val="24"/>
        </w:rPr>
        <w:t>为新能源可持续发展提供关键技术保障，科学评估其安全状况</w:t>
      </w:r>
      <w:r>
        <w:rPr>
          <w:rFonts w:ascii="宋体" w:hAnsi="宋体" w:eastAsia="宋体" w:cs="宋体"/>
          <w:sz w:val="24"/>
          <w:szCs w:val="24"/>
        </w:rPr>
        <w:t>，</w:t>
      </w:r>
      <w:r>
        <w:rPr>
          <w:rFonts w:hint="eastAsia" w:ascii="宋体" w:hAnsi="宋体" w:eastAsia="宋体" w:cs="宋体"/>
          <w:sz w:val="24"/>
          <w:szCs w:val="24"/>
        </w:rPr>
        <w:t>为节能和环保保驾护航</w:t>
      </w:r>
      <w:r>
        <w:rPr>
          <w:rFonts w:ascii="宋体" w:hAnsi="宋体" w:eastAsia="宋体" w:cs="宋体"/>
          <w:sz w:val="24"/>
          <w:szCs w:val="24"/>
        </w:rPr>
        <w:t>。</w:t>
      </w:r>
    </w:p>
    <w:p w14:paraId="5034CAEE">
      <w:pPr>
        <w:widowControl/>
        <w:spacing w:line="560" w:lineRule="exact"/>
        <w:ind w:firstLine="640" w:firstLineChars="200"/>
        <w:jc w:val="left"/>
        <w:rPr>
          <w:rFonts w:hint="eastAsia"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 xml:space="preserve">二、任务来源 </w:t>
      </w:r>
    </w:p>
    <w:p w14:paraId="23313A0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本项目来源为《省市场监管局关于印发</w:t>
      </w:r>
      <w:r>
        <w:rPr>
          <w:rFonts w:ascii="宋体" w:hAnsi="宋体" w:eastAsia="宋体" w:cs="宋体"/>
          <w:sz w:val="24"/>
          <w:szCs w:val="24"/>
        </w:rPr>
        <w:t>2023</w:t>
      </w:r>
      <w:r>
        <w:rPr>
          <w:rFonts w:hint="eastAsia" w:ascii="宋体" w:hAnsi="宋体" w:eastAsia="宋体" w:cs="宋体"/>
          <w:sz w:val="24"/>
          <w:szCs w:val="24"/>
        </w:rPr>
        <w:t>年度江苏省地方标准申报指南的通知》（苏市监标〔</w:t>
      </w:r>
      <w:r>
        <w:rPr>
          <w:rFonts w:ascii="宋体" w:hAnsi="宋体" w:eastAsia="宋体" w:cs="宋体"/>
          <w:sz w:val="24"/>
          <w:szCs w:val="24"/>
        </w:rPr>
        <w:t>2023</w:t>
      </w:r>
      <w:r>
        <w:rPr>
          <w:rFonts w:hint="eastAsia" w:ascii="宋体" w:hAnsi="宋体" w:eastAsia="宋体" w:cs="宋体"/>
          <w:sz w:val="24"/>
          <w:szCs w:val="24"/>
        </w:rPr>
        <w:t>〕</w:t>
      </w:r>
      <w:r>
        <w:rPr>
          <w:rFonts w:ascii="宋体" w:hAnsi="宋体" w:eastAsia="宋体" w:cs="宋体"/>
          <w:sz w:val="24"/>
          <w:szCs w:val="24"/>
        </w:rPr>
        <w:t>24</w:t>
      </w:r>
      <w:r>
        <w:rPr>
          <w:rFonts w:hint="eastAsia" w:ascii="宋体" w:hAnsi="宋体" w:eastAsia="宋体" w:cs="宋体"/>
          <w:sz w:val="24"/>
          <w:szCs w:val="24"/>
        </w:rPr>
        <w:t>号）。</w:t>
      </w:r>
      <w:r>
        <w:rPr>
          <w:rFonts w:ascii="宋体" w:hAnsi="宋体" w:eastAsia="宋体" w:cs="宋体"/>
          <w:sz w:val="24"/>
          <w:szCs w:val="24"/>
        </w:rPr>
        <w:t>20</w:t>
      </w:r>
      <w:r>
        <w:rPr>
          <w:rFonts w:hint="eastAsia" w:ascii="宋体" w:hAnsi="宋体" w:eastAsia="宋体" w:cs="宋体"/>
          <w:sz w:val="24"/>
          <w:szCs w:val="24"/>
        </w:rPr>
        <w:t>23</w:t>
      </w:r>
      <w:r>
        <w:rPr>
          <w:rFonts w:ascii="宋体" w:hAnsi="宋体" w:eastAsia="宋体" w:cs="宋体"/>
          <w:sz w:val="24"/>
          <w:szCs w:val="24"/>
        </w:rPr>
        <w:t>年</w:t>
      </w:r>
      <w:r>
        <w:rPr>
          <w:rFonts w:hint="eastAsia" w:ascii="宋体" w:hAnsi="宋体" w:eastAsia="宋体" w:cs="宋体"/>
          <w:sz w:val="24"/>
          <w:szCs w:val="24"/>
        </w:rPr>
        <w:t>2</w:t>
      </w:r>
      <w:r>
        <w:rPr>
          <w:rFonts w:ascii="宋体" w:hAnsi="宋体" w:eastAsia="宋体" w:cs="宋体"/>
          <w:sz w:val="24"/>
          <w:szCs w:val="24"/>
        </w:rPr>
        <w:t>月，</w:t>
      </w:r>
      <w:r>
        <w:rPr>
          <w:rFonts w:hint="eastAsia" w:ascii="宋体" w:hAnsi="宋体" w:eastAsia="宋体" w:cs="宋体"/>
          <w:sz w:val="24"/>
          <w:szCs w:val="24"/>
        </w:rPr>
        <w:t>项目承担单位南京工业大学</w:t>
      </w:r>
      <w:r>
        <w:rPr>
          <w:rFonts w:ascii="宋体" w:hAnsi="宋体" w:eastAsia="宋体" w:cs="宋体"/>
          <w:sz w:val="24"/>
          <w:szCs w:val="24"/>
        </w:rPr>
        <w:t>（以下简称</w:t>
      </w:r>
      <w:r>
        <w:rPr>
          <w:rFonts w:hint="eastAsia" w:ascii="宋体" w:hAnsi="宋体" w:eastAsia="宋体" w:cs="宋体"/>
          <w:sz w:val="24"/>
          <w:szCs w:val="24"/>
        </w:rPr>
        <w:t>“南工大”</w:t>
      </w:r>
      <w:r>
        <w:rPr>
          <w:rFonts w:ascii="宋体" w:hAnsi="宋体" w:eastAsia="宋体" w:cs="宋体"/>
          <w:sz w:val="24"/>
          <w:szCs w:val="24"/>
        </w:rPr>
        <w:t>）等单位向</w:t>
      </w:r>
      <w:r>
        <w:rPr>
          <w:rFonts w:hint="eastAsia" w:ascii="宋体" w:hAnsi="宋体" w:eastAsia="宋体" w:cs="宋体"/>
          <w:sz w:val="24"/>
          <w:szCs w:val="24"/>
        </w:rPr>
        <w:t>江苏省特种设备安全检验与节能标委会</w:t>
      </w:r>
      <w:r>
        <w:rPr>
          <w:rFonts w:ascii="宋体" w:hAnsi="宋体" w:eastAsia="宋体" w:cs="宋体"/>
          <w:sz w:val="24"/>
          <w:szCs w:val="24"/>
        </w:rPr>
        <w:t>提出起草</w:t>
      </w:r>
      <w:r>
        <w:rPr>
          <w:rFonts w:hint="eastAsia" w:ascii="宋体" w:hAnsi="宋体" w:eastAsia="宋体" w:cs="宋体"/>
          <w:sz w:val="24"/>
          <w:szCs w:val="24"/>
        </w:rPr>
        <w:t>地方</w:t>
      </w:r>
      <w:r>
        <w:rPr>
          <w:rFonts w:ascii="宋体" w:hAnsi="宋体" w:eastAsia="宋体" w:cs="宋体"/>
          <w:sz w:val="24"/>
          <w:szCs w:val="24"/>
        </w:rPr>
        <w:t>推荐标准《</w:t>
      </w:r>
      <w:r>
        <w:rPr>
          <w:rFonts w:hint="eastAsia" w:ascii="宋体" w:hAnsi="宋体" w:eastAsia="宋体" w:cs="宋体"/>
          <w:sz w:val="24"/>
          <w:szCs w:val="24"/>
        </w:rPr>
        <w:t>承压设备系统长期服役检查评定方法</w:t>
      </w:r>
      <w:r>
        <w:rPr>
          <w:rFonts w:ascii="宋体" w:hAnsi="宋体" w:eastAsia="宋体" w:cs="宋体"/>
          <w:sz w:val="24"/>
          <w:szCs w:val="24"/>
        </w:rPr>
        <w:t>》的申请。</w:t>
      </w:r>
      <w:r>
        <w:rPr>
          <w:rFonts w:hint="eastAsia" w:ascii="宋体" w:hAnsi="宋体" w:eastAsia="宋体" w:cs="宋体"/>
          <w:sz w:val="24"/>
          <w:szCs w:val="24"/>
        </w:rPr>
        <w:t>推荐单位及归口单位为江苏省特种设备安全检验与节能标委会。江苏省市场监督管理局</w:t>
      </w:r>
      <w:r>
        <w:rPr>
          <w:rFonts w:ascii="宋体" w:hAnsi="宋体" w:eastAsia="宋体" w:cs="宋体"/>
          <w:sz w:val="24"/>
          <w:szCs w:val="24"/>
        </w:rPr>
        <w:t>于20</w:t>
      </w:r>
      <w:r>
        <w:rPr>
          <w:rFonts w:hint="eastAsia" w:ascii="宋体" w:hAnsi="宋体" w:eastAsia="宋体" w:cs="宋体"/>
          <w:sz w:val="24"/>
          <w:szCs w:val="24"/>
        </w:rPr>
        <w:t>23</w:t>
      </w:r>
      <w:r>
        <w:rPr>
          <w:rFonts w:ascii="宋体" w:hAnsi="宋体" w:eastAsia="宋体" w:cs="宋体"/>
          <w:sz w:val="24"/>
          <w:szCs w:val="24"/>
        </w:rPr>
        <w:t>年7月公布了20</w:t>
      </w:r>
      <w:r>
        <w:rPr>
          <w:rFonts w:hint="eastAsia" w:ascii="宋体" w:hAnsi="宋体" w:eastAsia="宋体" w:cs="宋体"/>
          <w:sz w:val="24"/>
          <w:szCs w:val="24"/>
        </w:rPr>
        <w:t>2</w:t>
      </w:r>
      <w:r>
        <w:rPr>
          <w:rFonts w:ascii="宋体" w:hAnsi="宋体" w:eastAsia="宋体" w:cs="宋体"/>
          <w:sz w:val="24"/>
          <w:szCs w:val="24"/>
        </w:rPr>
        <w:t>3年</w:t>
      </w:r>
      <w:r>
        <w:rPr>
          <w:rFonts w:hint="eastAsia" w:ascii="宋体" w:hAnsi="宋体" w:eastAsia="宋体" w:cs="宋体"/>
          <w:sz w:val="24"/>
          <w:szCs w:val="24"/>
        </w:rPr>
        <w:t>地方标准立项公示</w:t>
      </w:r>
      <w:r>
        <w:rPr>
          <w:rFonts w:ascii="宋体" w:hAnsi="宋体" w:eastAsia="宋体" w:cs="宋体"/>
          <w:sz w:val="24"/>
          <w:szCs w:val="24"/>
        </w:rPr>
        <w:t>，本标准制定计划编号为</w:t>
      </w:r>
      <w:r>
        <w:rPr>
          <w:rFonts w:hint="eastAsia" w:ascii="宋体" w:hAnsi="宋体" w:eastAsia="宋体" w:cs="宋体"/>
          <w:sz w:val="24"/>
          <w:szCs w:val="24"/>
        </w:rPr>
        <w:t>320号</w:t>
      </w:r>
      <w:r>
        <w:rPr>
          <w:rFonts w:ascii="宋体" w:hAnsi="宋体" w:eastAsia="宋体" w:cs="宋体"/>
          <w:sz w:val="24"/>
          <w:szCs w:val="24"/>
        </w:rPr>
        <w:t>。</w:t>
      </w:r>
    </w:p>
    <w:p w14:paraId="0820FD5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本标准起草单位：南京工业大学、江苏省特种设备安全监督检验研究院、南京市锅炉压力容器检验研究院、江苏省化工本质安全研究院</w:t>
      </w:r>
      <w:r>
        <w:rPr>
          <w:rFonts w:hint="eastAsia" w:ascii="宋体" w:hAnsi="宋体" w:eastAsia="宋体" w:cs="宋体"/>
          <w:sz w:val="24"/>
          <w:szCs w:val="24"/>
          <w:lang w:eastAsia="zh-CN"/>
        </w:rPr>
        <w:t>、中国石化金陵石化公司</w:t>
      </w:r>
      <w:r>
        <w:rPr>
          <w:rFonts w:hint="eastAsia" w:ascii="宋体" w:hAnsi="宋体" w:eastAsia="宋体" w:cs="宋体"/>
          <w:sz w:val="24"/>
          <w:szCs w:val="24"/>
        </w:rPr>
        <w:t>。</w:t>
      </w:r>
    </w:p>
    <w:p w14:paraId="7EE1F098">
      <w:pPr>
        <w:spacing w:line="360" w:lineRule="auto"/>
        <w:ind w:firstLine="480" w:firstLineChars="200"/>
        <w:rPr>
          <w:rFonts w:hint="default" w:ascii="宋体" w:hAnsi="宋体" w:eastAsia="宋体" w:cs="宋体"/>
          <w:sz w:val="24"/>
          <w:szCs w:val="24"/>
          <w:lang w:val="en-US" w:eastAsia="zh-CN"/>
        </w:rPr>
      </w:pPr>
      <w:r>
        <w:rPr>
          <w:rFonts w:hint="eastAsia" w:ascii="宋体" w:hAnsi="宋体" w:eastAsia="宋体" w:cs="宋体"/>
          <w:sz w:val="24"/>
          <w:szCs w:val="24"/>
        </w:rPr>
        <w:t>本标准主要起草人：刘学军、宋高峰、浦江、梁斌、张军强、李斌、武晓光、刘波、蒋莉莉、周俊、</w:t>
      </w:r>
      <w:r>
        <w:rPr>
          <w:rFonts w:hint="eastAsia" w:ascii="宋体" w:hAnsi="宋体" w:eastAsia="宋体" w:cs="宋体"/>
          <w:sz w:val="24"/>
          <w:szCs w:val="24"/>
          <w:lang w:val="en-US" w:eastAsia="zh-CN"/>
        </w:rPr>
        <w:t>谢毅、</w:t>
      </w:r>
      <w:r>
        <w:rPr>
          <w:rFonts w:hint="eastAsia" w:ascii="宋体" w:hAnsi="宋体" w:eastAsia="宋体" w:cs="宋体"/>
          <w:sz w:val="24"/>
          <w:szCs w:val="24"/>
        </w:rPr>
        <w:t>张剑、葛志强</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马晶晶、王郁林。</w:t>
      </w:r>
    </w:p>
    <w:p w14:paraId="3A635B8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分工如下：</w:t>
      </w:r>
    </w:p>
    <w:tbl>
      <w:tblPr>
        <w:tblStyle w:val="6"/>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587"/>
        <w:gridCol w:w="3935"/>
      </w:tblGrid>
      <w:tr w14:paraId="411279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587" w:type="dxa"/>
          </w:tcPr>
          <w:p w14:paraId="5A74AA58">
            <w:pPr>
              <w:pStyle w:val="11"/>
              <w:ind w:firstLine="0" w:firstLineChars="0"/>
              <w:jc w:val="center"/>
              <w:rPr>
                <w:b/>
                <w:sz w:val="24"/>
                <w:szCs w:val="24"/>
              </w:rPr>
            </w:pPr>
            <w:r>
              <w:rPr>
                <w:rFonts w:hint="eastAsia"/>
                <w:b/>
                <w:sz w:val="24"/>
                <w:szCs w:val="24"/>
              </w:rPr>
              <w:t>章节</w:t>
            </w:r>
          </w:p>
        </w:tc>
        <w:tc>
          <w:tcPr>
            <w:tcW w:w="3935" w:type="dxa"/>
          </w:tcPr>
          <w:p w14:paraId="7CBD9822">
            <w:pPr>
              <w:pStyle w:val="11"/>
              <w:ind w:firstLine="0" w:firstLineChars="0"/>
              <w:jc w:val="center"/>
              <w:rPr>
                <w:b/>
                <w:sz w:val="24"/>
                <w:szCs w:val="24"/>
              </w:rPr>
            </w:pPr>
            <w:r>
              <w:rPr>
                <w:rFonts w:hint="eastAsia"/>
                <w:b/>
                <w:sz w:val="24"/>
                <w:szCs w:val="24"/>
              </w:rPr>
              <w:t>主要起草人</w:t>
            </w:r>
          </w:p>
        </w:tc>
      </w:tr>
      <w:tr w14:paraId="0F69EE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587" w:type="dxa"/>
          </w:tcPr>
          <w:p w14:paraId="31F54345">
            <w:pPr>
              <w:snapToGrid w:val="0"/>
              <w:spacing w:line="340" w:lineRule="exact"/>
              <w:jc w:val="left"/>
              <w:rPr>
                <w:rFonts w:ascii="Times New Roman" w:hAnsi="Times New Roman"/>
                <w:sz w:val="24"/>
                <w:szCs w:val="24"/>
              </w:rPr>
            </w:pPr>
            <w:r>
              <w:rPr>
                <w:rFonts w:hint="eastAsia" w:ascii="Times New Roman" w:hAnsi="Times New Roman"/>
                <w:bCs/>
                <w:sz w:val="24"/>
                <w:szCs w:val="24"/>
              </w:rPr>
              <w:t xml:space="preserve">1-4 </w:t>
            </w:r>
            <w:r>
              <w:rPr>
                <w:rFonts w:ascii="Times New Roman" w:hAnsi="Times New Roman"/>
                <w:bCs/>
                <w:sz w:val="24"/>
                <w:szCs w:val="24"/>
              </w:rPr>
              <w:t>范围、规范性引用文件、术语和定义</w:t>
            </w:r>
            <w:r>
              <w:rPr>
                <w:rFonts w:hint="eastAsia" w:ascii="Times New Roman" w:hAnsi="Times New Roman"/>
                <w:bCs/>
                <w:sz w:val="24"/>
                <w:szCs w:val="24"/>
              </w:rPr>
              <w:t>、总体</w:t>
            </w:r>
            <w:r>
              <w:rPr>
                <w:rFonts w:ascii="Times New Roman" w:hAnsi="Times New Roman"/>
                <w:bCs/>
                <w:sz w:val="24"/>
                <w:szCs w:val="24"/>
              </w:rPr>
              <w:t>要求</w:t>
            </w:r>
          </w:p>
        </w:tc>
        <w:tc>
          <w:tcPr>
            <w:tcW w:w="3935" w:type="dxa"/>
          </w:tcPr>
          <w:p w14:paraId="693DA39B">
            <w:pPr>
              <w:pStyle w:val="11"/>
              <w:ind w:firstLine="0" w:firstLineChars="0"/>
              <w:rPr>
                <w:sz w:val="24"/>
                <w:szCs w:val="24"/>
              </w:rPr>
            </w:pPr>
            <w:r>
              <w:rPr>
                <w:rFonts w:hint="eastAsia"/>
                <w:sz w:val="24"/>
                <w:szCs w:val="24"/>
              </w:rPr>
              <w:t>刘学军、浦江、蒋莉莉</w:t>
            </w:r>
          </w:p>
        </w:tc>
      </w:tr>
      <w:tr w14:paraId="036E17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587" w:type="dxa"/>
          </w:tcPr>
          <w:p w14:paraId="284EF104">
            <w:pPr>
              <w:snapToGrid w:val="0"/>
              <w:spacing w:line="340" w:lineRule="exact"/>
              <w:jc w:val="left"/>
              <w:rPr>
                <w:sz w:val="24"/>
                <w:szCs w:val="24"/>
              </w:rPr>
            </w:pPr>
            <w:r>
              <w:rPr>
                <w:rFonts w:hint="eastAsia" w:ascii="Times New Roman" w:hAnsi="Times New Roman"/>
                <w:bCs/>
                <w:sz w:val="24"/>
                <w:szCs w:val="24"/>
              </w:rPr>
              <w:t>5通用流程</w:t>
            </w:r>
          </w:p>
        </w:tc>
        <w:tc>
          <w:tcPr>
            <w:tcW w:w="3935" w:type="dxa"/>
          </w:tcPr>
          <w:p w14:paraId="15BE1FDC">
            <w:pPr>
              <w:pStyle w:val="11"/>
              <w:ind w:firstLine="0" w:firstLineChars="0"/>
              <w:rPr>
                <w:sz w:val="24"/>
                <w:szCs w:val="24"/>
              </w:rPr>
            </w:pPr>
            <w:r>
              <w:rPr>
                <w:rFonts w:hint="eastAsia"/>
                <w:sz w:val="24"/>
                <w:szCs w:val="24"/>
              </w:rPr>
              <w:t>刘学军、浦江、梁斌、刘波</w:t>
            </w:r>
          </w:p>
        </w:tc>
      </w:tr>
      <w:tr w14:paraId="26292F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587" w:type="dxa"/>
          </w:tcPr>
          <w:p w14:paraId="43A8C7E4">
            <w:pPr>
              <w:snapToGrid w:val="0"/>
              <w:spacing w:line="340" w:lineRule="exact"/>
              <w:jc w:val="left"/>
              <w:rPr>
                <w:rFonts w:ascii="Times New Roman" w:hAnsi="Times New Roman"/>
                <w:bCs/>
                <w:sz w:val="24"/>
                <w:szCs w:val="24"/>
              </w:rPr>
            </w:pPr>
            <w:r>
              <w:rPr>
                <w:rFonts w:hint="eastAsia" w:ascii="Times New Roman" w:hAnsi="Times New Roman"/>
                <w:bCs/>
                <w:sz w:val="24"/>
                <w:szCs w:val="24"/>
              </w:rPr>
              <w:t>6装置状况普查和设备筛选</w:t>
            </w:r>
          </w:p>
        </w:tc>
        <w:tc>
          <w:tcPr>
            <w:tcW w:w="3935" w:type="dxa"/>
          </w:tcPr>
          <w:p w14:paraId="382C1701">
            <w:pPr>
              <w:snapToGrid w:val="0"/>
              <w:spacing w:line="340" w:lineRule="exact"/>
              <w:jc w:val="left"/>
              <w:rPr>
                <w:rFonts w:ascii="Times New Roman" w:hAnsi="Times New Roman"/>
                <w:bCs/>
                <w:sz w:val="24"/>
                <w:szCs w:val="24"/>
              </w:rPr>
            </w:pPr>
            <w:r>
              <w:rPr>
                <w:rFonts w:hint="eastAsia" w:ascii="宋体" w:hAnsi="宋体" w:cs="宋体"/>
                <w:color w:val="000000"/>
                <w:sz w:val="24"/>
                <w:szCs w:val="24"/>
              </w:rPr>
              <w:t>宋高峰、梁斌、</w:t>
            </w:r>
            <w:r>
              <w:rPr>
                <w:rFonts w:hint="eastAsia"/>
                <w:sz w:val="24"/>
                <w:szCs w:val="24"/>
              </w:rPr>
              <w:t>张军强、张剑</w:t>
            </w:r>
          </w:p>
        </w:tc>
      </w:tr>
      <w:tr w14:paraId="44B38F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587" w:type="dxa"/>
          </w:tcPr>
          <w:p w14:paraId="77B3C203">
            <w:pPr>
              <w:snapToGrid w:val="0"/>
              <w:spacing w:line="340" w:lineRule="exact"/>
              <w:jc w:val="left"/>
              <w:rPr>
                <w:rFonts w:ascii="Times New Roman" w:hAnsi="Times New Roman"/>
                <w:bCs/>
                <w:sz w:val="24"/>
                <w:szCs w:val="24"/>
              </w:rPr>
            </w:pPr>
            <w:r>
              <w:rPr>
                <w:rFonts w:hint="eastAsia" w:ascii="Times New Roman" w:hAnsi="Times New Roman"/>
                <w:bCs/>
                <w:sz w:val="24"/>
                <w:szCs w:val="24"/>
              </w:rPr>
              <w:t>7损伤模式识别和失效案例审查</w:t>
            </w:r>
          </w:p>
        </w:tc>
        <w:tc>
          <w:tcPr>
            <w:tcW w:w="3935" w:type="dxa"/>
          </w:tcPr>
          <w:p w14:paraId="345FC3E0">
            <w:pPr>
              <w:snapToGrid w:val="0"/>
              <w:spacing w:line="340" w:lineRule="exact"/>
              <w:jc w:val="left"/>
              <w:rPr>
                <w:rFonts w:hint="default" w:ascii="Times New Roman" w:hAnsi="Times New Roman" w:eastAsiaTheme="minorEastAsia"/>
                <w:bCs/>
                <w:sz w:val="24"/>
                <w:szCs w:val="24"/>
                <w:lang w:val="en-US" w:eastAsia="zh-CN"/>
              </w:rPr>
            </w:pPr>
            <w:r>
              <w:rPr>
                <w:rFonts w:hint="eastAsia" w:ascii="宋体" w:hAnsi="宋体" w:cs="宋体"/>
                <w:color w:val="000000"/>
                <w:sz w:val="24"/>
                <w:szCs w:val="24"/>
              </w:rPr>
              <w:t>宋高峰</w:t>
            </w:r>
            <w:r>
              <w:rPr>
                <w:rFonts w:hint="eastAsia"/>
                <w:sz w:val="24"/>
                <w:szCs w:val="24"/>
                <w:lang w:eastAsia="zh-CN"/>
              </w:rPr>
              <w:t>、</w:t>
            </w:r>
            <w:r>
              <w:rPr>
                <w:rFonts w:hint="eastAsia"/>
                <w:sz w:val="24"/>
                <w:szCs w:val="24"/>
                <w:lang w:val="en-US" w:eastAsia="zh-CN"/>
              </w:rPr>
              <w:t>谢毅</w:t>
            </w:r>
            <w:r>
              <w:rPr>
                <w:rFonts w:hint="eastAsia" w:ascii="宋体" w:hAnsi="宋体" w:cs="宋体"/>
                <w:color w:val="000000"/>
                <w:sz w:val="24"/>
                <w:szCs w:val="24"/>
              </w:rPr>
              <w:t>、</w:t>
            </w:r>
            <w:r>
              <w:rPr>
                <w:rFonts w:hint="eastAsia"/>
                <w:sz w:val="24"/>
                <w:szCs w:val="24"/>
                <w:lang w:val="en-US" w:eastAsia="zh-CN"/>
              </w:rPr>
              <w:t>马晶晶</w:t>
            </w:r>
            <w:r>
              <w:rPr>
                <w:rFonts w:hint="eastAsia"/>
                <w:sz w:val="24"/>
                <w:szCs w:val="24"/>
                <w:lang w:eastAsia="zh-CN"/>
              </w:rPr>
              <w:t>、</w:t>
            </w:r>
            <w:r>
              <w:rPr>
                <w:rFonts w:hint="eastAsia"/>
                <w:sz w:val="24"/>
                <w:szCs w:val="24"/>
                <w:lang w:val="en-US" w:eastAsia="zh-CN"/>
              </w:rPr>
              <w:t>王郁林</w:t>
            </w:r>
          </w:p>
        </w:tc>
      </w:tr>
      <w:tr w14:paraId="4A2E21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587" w:type="dxa"/>
          </w:tcPr>
          <w:p w14:paraId="350A2631">
            <w:pPr>
              <w:snapToGrid w:val="0"/>
              <w:spacing w:line="340" w:lineRule="exact"/>
              <w:jc w:val="left"/>
              <w:rPr>
                <w:rFonts w:ascii="Times New Roman" w:hAnsi="Times New Roman"/>
                <w:bCs/>
                <w:sz w:val="24"/>
                <w:szCs w:val="24"/>
              </w:rPr>
            </w:pPr>
            <w:r>
              <w:rPr>
                <w:rFonts w:hint="eastAsia" w:ascii="Times New Roman" w:hAnsi="Times New Roman"/>
                <w:bCs/>
                <w:sz w:val="24"/>
                <w:szCs w:val="24"/>
              </w:rPr>
              <w:t>8基于损伤模式的检验</w:t>
            </w:r>
          </w:p>
        </w:tc>
        <w:tc>
          <w:tcPr>
            <w:tcW w:w="3935" w:type="dxa"/>
          </w:tcPr>
          <w:p w14:paraId="488D0B62">
            <w:pPr>
              <w:snapToGrid w:val="0"/>
              <w:spacing w:line="340" w:lineRule="exact"/>
              <w:jc w:val="left"/>
              <w:rPr>
                <w:rFonts w:ascii="Times New Roman" w:hAnsi="Times New Roman"/>
                <w:bCs/>
                <w:sz w:val="24"/>
                <w:szCs w:val="24"/>
              </w:rPr>
            </w:pPr>
            <w:r>
              <w:rPr>
                <w:rFonts w:hint="eastAsia" w:ascii="宋体" w:hAnsi="宋体" w:cs="宋体"/>
                <w:color w:val="000000"/>
                <w:sz w:val="24"/>
                <w:szCs w:val="24"/>
              </w:rPr>
              <w:t>宋高峰、武晓光、</w:t>
            </w:r>
            <w:r>
              <w:rPr>
                <w:rFonts w:hint="eastAsia"/>
                <w:sz w:val="24"/>
                <w:szCs w:val="24"/>
              </w:rPr>
              <w:t>周俊</w:t>
            </w:r>
          </w:p>
        </w:tc>
      </w:tr>
      <w:tr w14:paraId="2BA879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587" w:type="dxa"/>
          </w:tcPr>
          <w:p w14:paraId="209F9DED">
            <w:pPr>
              <w:snapToGrid w:val="0"/>
              <w:spacing w:line="340" w:lineRule="exact"/>
              <w:jc w:val="left"/>
              <w:rPr>
                <w:rFonts w:ascii="Times New Roman" w:hAnsi="Times New Roman"/>
                <w:bCs/>
                <w:sz w:val="24"/>
                <w:szCs w:val="24"/>
              </w:rPr>
            </w:pPr>
            <w:r>
              <w:rPr>
                <w:rFonts w:hint="eastAsia" w:ascii="Times New Roman" w:hAnsi="Times New Roman"/>
                <w:bCs/>
                <w:sz w:val="24"/>
                <w:szCs w:val="24"/>
              </w:rPr>
              <w:t>9检验结果处理</w:t>
            </w:r>
          </w:p>
        </w:tc>
        <w:tc>
          <w:tcPr>
            <w:tcW w:w="3935" w:type="dxa"/>
          </w:tcPr>
          <w:p w14:paraId="256BFE11">
            <w:pPr>
              <w:snapToGrid w:val="0"/>
              <w:spacing w:line="340" w:lineRule="exact"/>
              <w:jc w:val="left"/>
              <w:rPr>
                <w:rFonts w:ascii="Times New Roman" w:hAnsi="Times New Roman"/>
                <w:bCs/>
                <w:sz w:val="24"/>
                <w:szCs w:val="24"/>
              </w:rPr>
            </w:pPr>
            <w:r>
              <w:rPr>
                <w:rFonts w:hint="eastAsia" w:ascii="宋体" w:hAnsi="宋体" w:cs="宋体"/>
                <w:color w:val="000000"/>
                <w:sz w:val="24"/>
                <w:szCs w:val="24"/>
              </w:rPr>
              <w:t>宋高峰、刘学军</w:t>
            </w:r>
            <w:r>
              <w:rPr>
                <w:rFonts w:hint="eastAsia"/>
                <w:sz w:val="24"/>
                <w:szCs w:val="24"/>
              </w:rPr>
              <w:t>、葛志强</w:t>
            </w:r>
          </w:p>
        </w:tc>
      </w:tr>
      <w:tr w14:paraId="242CDA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587" w:type="dxa"/>
          </w:tcPr>
          <w:p w14:paraId="78C360F1">
            <w:pPr>
              <w:snapToGrid w:val="0"/>
              <w:spacing w:line="340" w:lineRule="exact"/>
              <w:jc w:val="left"/>
              <w:rPr>
                <w:rFonts w:ascii="Times New Roman" w:hAnsi="Times New Roman"/>
                <w:bCs/>
                <w:sz w:val="24"/>
                <w:szCs w:val="24"/>
              </w:rPr>
            </w:pPr>
            <w:r>
              <w:rPr>
                <w:rFonts w:hint="eastAsia" w:ascii="Times New Roman" w:hAnsi="Times New Roman"/>
                <w:bCs/>
                <w:sz w:val="24"/>
                <w:szCs w:val="24"/>
              </w:rPr>
              <w:t>10安全状况评定结论和报告</w:t>
            </w:r>
          </w:p>
        </w:tc>
        <w:tc>
          <w:tcPr>
            <w:tcW w:w="3935" w:type="dxa"/>
          </w:tcPr>
          <w:p w14:paraId="6BCEEDFF">
            <w:pPr>
              <w:snapToGrid w:val="0"/>
              <w:spacing w:line="340" w:lineRule="exact"/>
              <w:jc w:val="left"/>
              <w:rPr>
                <w:rFonts w:ascii="Times New Roman" w:hAnsi="Times New Roman"/>
                <w:bCs/>
                <w:sz w:val="24"/>
                <w:szCs w:val="24"/>
              </w:rPr>
            </w:pPr>
            <w:r>
              <w:rPr>
                <w:rFonts w:hint="eastAsia" w:ascii="宋体" w:hAnsi="宋体" w:cs="宋体"/>
                <w:color w:val="000000"/>
                <w:sz w:val="24"/>
                <w:szCs w:val="24"/>
              </w:rPr>
              <w:t>宋高峰、刘学军、浦江、李斌</w:t>
            </w:r>
            <w:r>
              <w:rPr>
                <w:rFonts w:ascii="Times New Roman" w:hAnsi="Times New Roman"/>
                <w:bCs/>
                <w:sz w:val="24"/>
                <w:szCs w:val="24"/>
              </w:rPr>
              <w:t xml:space="preserve"> </w:t>
            </w:r>
          </w:p>
        </w:tc>
      </w:tr>
    </w:tbl>
    <w:p w14:paraId="4CA1F70E">
      <w:pPr>
        <w:spacing w:line="360" w:lineRule="auto"/>
        <w:ind w:firstLine="480" w:firstLineChars="200"/>
        <w:rPr>
          <w:rFonts w:hint="eastAsia" w:ascii="宋体" w:hAnsi="宋体" w:eastAsia="宋体" w:cs="宋体"/>
          <w:sz w:val="24"/>
          <w:szCs w:val="24"/>
        </w:rPr>
      </w:pPr>
    </w:p>
    <w:p w14:paraId="66171E1D">
      <w:pPr>
        <w:widowControl/>
        <w:spacing w:line="560" w:lineRule="exact"/>
        <w:ind w:firstLine="640" w:firstLineChars="200"/>
        <w:jc w:val="left"/>
        <w:rPr>
          <w:rFonts w:hint="eastAsia" w:ascii="方正仿宋_GBK" w:hAnsi="方正仿宋_GBK" w:eastAsia="方正仿宋_GBK" w:cs="方正仿宋_GBK"/>
          <w:kern w:val="0"/>
          <w:sz w:val="32"/>
          <w:szCs w:val="32"/>
        </w:rPr>
      </w:pPr>
      <w:r>
        <w:rPr>
          <w:rFonts w:hint="eastAsia" w:ascii="方正黑体_GBK" w:hAnsi="方正黑体_GBK" w:eastAsia="方正黑体_GBK" w:cs="方正黑体_GBK"/>
          <w:kern w:val="0"/>
          <w:sz w:val="32"/>
          <w:szCs w:val="32"/>
        </w:rPr>
        <w:t xml:space="preserve">三、编制过程 </w:t>
      </w:r>
    </w:p>
    <w:p w14:paraId="7C21AAE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2023年3月南京工业大学通过江苏省特种设备检验与节能标准化委员会提出编制地方标准《承压设备系统长期服役检查评定方法》并进行前期调研，2023年6月29日该标准正式纳入江苏省地方标准立项计划，2023年7月底成立标准起草组，主要编制过程如下：</w:t>
      </w:r>
    </w:p>
    <w:p w14:paraId="1D549DA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（1）前期项目调研阶段</w:t>
      </w:r>
    </w:p>
    <w:p w14:paraId="7AE3DB4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2023年4月至6月，南京工业大学走访调研了扬子石油化工有限责任公司、中石化金陵公司等企业，以及江苏省市场监督管理局、南京市市场监督管理局、江苏省特种设备安全监督检验研究院、南京市锅炉压力容器检验研究院等监管部门和检验机构。</w:t>
      </w:r>
    </w:p>
    <w:p w14:paraId="7BF8C1D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（2）标准起草阶段</w:t>
      </w:r>
    </w:p>
    <w:p w14:paraId="4930924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2023年7月至10月，南京工业大学成立标准起草组，组织压力容器和压力管道专业技术人员多次召开标准起草组研讨会，对标准立项稿进行深入讨论，参考TSG21、TSG D0001、TSG D7005、GB/T 19624、GB/T 35013等承压类安全技术规范和国家标准，结合工程经验，反复对标准草案进行修改完善，形成了标准讨论稿。</w:t>
      </w:r>
    </w:p>
    <w:p w14:paraId="25DC4AB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（3）专家研讨、意见征求阶段</w:t>
      </w:r>
    </w:p>
    <w:p w14:paraId="50D2853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2023年11月至2024年2月，标准起草组拟定了在南京市范围内的调研方案，选取有代表性的压力容器和压力管道使用单位和特种设备安全监察和检验机构开展调研，邀请扬子-巴斯夫公司、中石化金陵公司、塞拉尼斯（南京）化工有限公司等企业，以及江苏省市场监督管理局、南京市市场监督管理局、江苏省特种设备安全监督检验研究院、南京市锅炉压力容器检验研究院等监管部门和检验机构作为调研对象，通过网络、发函、集中会议等形式，充分征集压力容器和压力管道使用单位管理人员和安全监察机构监察人员、检验人员对标准讨论稿的修改意见。</w:t>
      </w:r>
    </w:p>
    <w:p w14:paraId="5B00FAE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标准起草组对标准逐章逐条进行了认真细致地研讨，就标准部分内容提出具体的修改意见。共收到3家企业的18条反馈意见，其中完全采纳6条，部分采纳3条，不采纳9条。起草组不断完善标准讨论稿，形成送审稿。</w:t>
      </w:r>
    </w:p>
    <w:p w14:paraId="07847EF4">
      <w:pPr>
        <w:spacing w:line="360" w:lineRule="auto"/>
        <w:ind w:firstLine="480" w:firstLineChars="200"/>
        <w:rPr>
          <w:rFonts w:hint="eastAsia" w:ascii="宋体" w:hAnsi="宋体" w:eastAsia="宋体" w:cs="宋体"/>
          <w:color w:val="FF0000"/>
          <w:sz w:val="24"/>
          <w:szCs w:val="24"/>
        </w:rPr>
      </w:pPr>
    </w:p>
    <w:p w14:paraId="41EC5E00">
      <w:pPr>
        <w:widowControl/>
        <w:spacing w:line="560" w:lineRule="exact"/>
        <w:ind w:firstLine="640" w:firstLineChars="200"/>
        <w:jc w:val="left"/>
        <w:rPr>
          <w:rFonts w:hint="eastAsia"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 xml:space="preserve">四、主要内容技术指标确立 </w:t>
      </w:r>
    </w:p>
    <w:p w14:paraId="2D0175B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ascii="宋体" w:hAnsi="宋体" w:eastAsia="宋体" w:cs="宋体"/>
          <w:sz w:val="24"/>
          <w:szCs w:val="24"/>
        </w:rPr>
        <w:t>本标准的编制原则</w:t>
      </w:r>
    </w:p>
    <w:p w14:paraId="65784E6D">
      <w:pPr>
        <w:spacing w:line="360" w:lineRule="auto"/>
        <w:ind w:firstLine="480" w:firstLineChars="200"/>
        <w:rPr>
          <w:rFonts w:hint="eastAsia" w:ascii="宋体" w:hAnsi="宋体" w:eastAsia="宋体" w:cs="宋体"/>
          <w:sz w:val="24"/>
          <w:szCs w:val="24"/>
        </w:rPr>
      </w:pPr>
      <w:r>
        <w:rPr>
          <w:rFonts w:ascii="宋体" w:hAnsi="宋体" w:eastAsia="宋体" w:cs="宋体"/>
          <w:sz w:val="24"/>
          <w:szCs w:val="24"/>
        </w:rPr>
        <w:t>（1）本标准结合近年来国内在承压设备</w:t>
      </w:r>
      <w:r>
        <w:rPr>
          <w:rFonts w:hint="eastAsia" w:ascii="宋体" w:hAnsi="宋体" w:eastAsia="宋体" w:cs="宋体"/>
          <w:sz w:val="24"/>
          <w:szCs w:val="24"/>
        </w:rPr>
        <w:t>长期服役检查评定</w:t>
      </w:r>
      <w:r>
        <w:rPr>
          <w:rFonts w:ascii="宋体" w:hAnsi="宋体" w:eastAsia="宋体" w:cs="宋体"/>
          <w:sz w:val="24"/>
          <w:szCs w:val="24"/>
        </w:rPr>
        <w:t>方面所取得的工程实践经验</w:t>
      </w:r>
      <w:r>
        <w:rPr>
          <w:rFonts w:hint="eastAsia" w:ascii="宋体" w:hAnsi="宋体" w:eastAsia="宋体" w:cs="宋体"/>
          <w:sz w:val="24"/>
          <w:szCs w:val="24"/>
        </w:rPr>
        <w:t>，</w:t>
      </w:r>
      <w:r>
        <w:rPr>
          <w:rFonts w:ascii="宋体" w:hAnsi="宋体" w:eastAsia="宋体" w:cs="宋体"/>
          <w:sz w:val="24"/>
          <w:szCs w:val="24"/>
        </w:rPr>
        <w:t>参考了</w:t>
      </w:r>
      <w:r>
        <w:rPr>
          <w:rFonts w:hint="eastAsia" w:ascii="宋体" w:hAnsi="宋体" w:eastAsia="宋体" w:cs="宋体"/>
          <w:sz w:val="24"/>
          <w:szCs w:val="24"/>
        </w:rPr>
        <w:t>总局57号令、</w:t>
      </w:r>
      <w:r>
        <w:rPr>
          <w:rFonts w:ascii="宋体" w:hAnsi="宋体" w:eastAsia="宋体" w:cs="宋体"/>
          <w:sz w:val="24"/>
          <w:szCs w:val="24"/>
        </w:rPr>
        <w:t xml:space="preserve">TSG </w:t>
      </w:r>
      <w:r>
        <w:rPr>
          <w:rFonts w:hint="eastAsia" w:ascii="宋体" w:hAnsi="宋体" w:eastAsia="宋体" w:cs="宋体"/>
          <w:sz w:val="24"/>
          <w:szCs w:val="24"/>
        </w:rPr>
        <w:t>规范、压力容器和压力管道设计、选材、损伤识别和检验评估等国家和行业标准，以及</w:t>
      </w:r>
      <w:r>
        <w:rPr>
          <w:rFonts w:ascii="宋体" w:hAnsi="宋体" w:cs="宋体"/>
          <w:sz w:val="24"/>
          <w:szCs w:val="24"/>
        </w:rPr>
        <w:t>API</w:t>
      </w:r>
      <w:r>
        <w:rPr>
          <w:rFonts w:hint="eastAsia" w:ascii="宋体" w:hAnsi="宋体" w:cs="宋体"/>
          <w:sz w:val="24"/>
          <w:szCs w:val="24"/>
        </w:rPr>
        <w:t>和ASME相关国际标准</w:t>
      </w:r>
      <w:r>
        <w:rPr>
          <w:rFonts w:ascii="宋体" w:hAnsi="宋体" w:eastAsia="宋体" w:cs="宋体"/>
          <w:sz w:val="24"/>
          <w:szCs w:val="24"/>
        </w:rPr>
        <w:t>的部分技术内容，根据我国国情进行编写；</w:t>
      </w:r>
    </w:p>
    <w:p w14:paraId="625309E0">
      <w:pPr>
        <w:spacing w:line="360" w:lineRule="auto"/>
        <w:ind w:firstLine="480" w:firstLineChars="200"/>
        <w:rPr>
          <w:rFonts w:hint="eastAsia" w:ascii="宋体" w:hAnsi="宋体" w:eastAsia="宋体" w:cs="宋体"/>
          <w:sz w:val="24"/>
          <w:szCs w:val="24"/>
        </w:rPr>
      </w:pPr>
      <w:r>
        <w:rPr>
          <w:rFonts w:ascii="宋体" w:hAnsi="宋体" w:eastAsia="宋体" w:cs="宋体"/>
          <w:sz w:val="24"/>
          <w:szCs w:val="24"/>
        </w:rPr>
        <w:t>（2）标准格式符合GB/T 1.1—2009《标准化工作导则  第1部分：标准的结构和编写》；</w:t>
      </w:r>
    </w:p>
    <w:p w14:paraId="54D2C784">
      <w:pPr>
        <w:spacing w:line="360" w:lineRule="auto"/>
        <w:ind w:firstLine="480" w:firstLineChars="200"/>
        <w:rPr>
          <w:rFonts w:hint="eastAsia" w:ascii="宋体" w:hAnsi="宋体" w:eastAsia="宋体" w:cs="宋体"/>
          <w:sz w:val="24"/>
          <w:szCs w:val="24"/>
        </w:rPr>
      </w:pPr>
      <w:r>
        <w:rPr>
          <w:rFonts w:ascii="宋体" w:hAnsi="宋体" w:eastAsia="宋体" w:cs="宋体"/>
          <w:sz w:val="24"/>
          <w:szCs w:val="24"/>
        </w:rPr>
        <w:t>（3）技术要求和参数等与国家法律、法规和有关技术标准相一致；</w:t>
      </w:r>
    </w:p>
    <w:p w14:paraId="29D522B2">
      <w:pPr>
        <w:spacing w:line="360" w:lineRule="auto"/>
        <w:ind w:firstLine="480" w:firstLineChars="200"/>
        <w:rPr>
          <w:rFonts w:hint="eastAsia" w:ascii="宋体" w:hAnsi="宋体" w:eastAsia="宋体" w:cs="宋体"/>
          <w:sz w:val="24"/>
          <w:szCs w:val="24"/>
        </w:rPr>
      </w:pPr>
      <w:r>
        <w:rPr>
          <w:rFonts w:ascii="宋体" w:hAnsi="宋体" w:eastAsia="宋体" w:cs="宋体"/>
          <w:sz w:val="24"/>
          <w:szCs w:val="24"/>
        </w:rPr>
        <w:t>（4）统一了标准化对象的名词、术语及相关技术要求</w:t>
      </w:r>
      <w:r>
        <w:rPr>
          <w:rFonts w:hint="eastAsia" w:ascii="宋体" w:hAnsi="宋体" w:eastAsia="宋体" w:cs="宋体"/>
          <w:sz w:val="24"/>
          <w:szCs w:val="24"/>
        </w:rPr>
        <w:t>；</w:t>
      </w:r>
    </w:p>
    <w:p w14:paraId="15E4407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（5）本标准与TSG21、TSG D0001、TSG D7005、GB/T 19624、GB/T 35013在技术内容方面相互协调，可结合使用。</w:t>
      </w:r>
    </w:p>
    <w:p w14:paraId="783E5A2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ascii="宋体" w:hAnsi="宋体" w:eastAsia="宋体" w:cs="宋体"/>
          <w:sz w:val="24"/>
          <w:szCs w:val="24"/>
        </w:rPr>
        <w:t xml:space="preserve"> 标准主要内容说明</w:t>
      </w:r>
    </w:p>
    <w:p w14:paraId="5691E009">
      <w:pPr>
        <w:spacing w:line="360" w:lineRule="auto"/>
        <w:ind w:firstLine="480" w:firstLineChars="200"/>
        <w:rPr>
          <w:rFonts w:hint="eastAsia" w:ascii="宋体" w:hAnsi="宋体" w:eastAsia="宋体" w:cs="宋体"/>
          <w:sz w:val="24"/>
          <w:szCs w:val="24"/>
        </w:rPr>
      </w:pPr>
      <w:r>
        <w:rPr>
          <w:rFonts w:ascii="宋体" w:hAnsi="宋体" w:eastAsia="宋体" w:cs="宋体"/>
          <w:sz w:val="24"/>
          <w:szCs w:val="24"/>
        </w:rPr>
        <w:t>本标准根据我国国情，结合</w:t>
      </w:r>
      <w:r>
        <w:rPr>
          <w:rFonts w:hint="eastAsia" w:ascii="宋体" w:hAnsi="宋体" w:eastAsia="宋体" w:cs="宋体"/>
          <w:sz w:val="24"/>
          <w:szCs w:val="24"/>
        </w:rPr>
        <w:t>国内</w:t>
      </w:r>
      <w:r>
        <w:rPr>
          <w:rFonts w:ascii="宋体" w:hAnsi="宋体" w:eastAsia="宋体" w:cs="宋体"/>
          <w:sz w:val="24"/>
          <w:szCs w:val="24"/>
        </w:rPr>
        <w:t>在损伤</w:t>
      </w:r>
      <w:r>
        <w:rPr>
          <w:rFonts w:hint="eastAsia" w:ascii="宋体" w:hAnsi="宋体" w:eastAsia="宋体" w:cs="宋体"/>
          <w:sz w:val="24"/>
          <w:szCs w:val="24"/>
        </w:rPr>
        <w:t>识别和检验评估</w:t>
      </w:r>
      <w:r>
        <w:rPr>
          <w:rFonts w:ascii="宋体" w:hAnsi="宋体" w:eastAsia="宋体" w:cs="宋体"/>
          <w:sz w:val="24"/>
          <w:szCs w:val="24"/>
        </w:rPr>
        <w:t>等方面取得的</w:t>
      </w:r>
      <w:r>
        <w:rPr>
          <w:rFonts w:hint="eastAsia" w:ascii="宋体" w:hAnsi="宋体" w:eastAsia="宋体" w:cs="宋体"/>
          <w:sz w:val="24"/>
          <w:szCs w:val="24"/>
        </w:rPr>
        <w:t>实际经验，并</w:t>
      </w:r>
      <w:r>
        <w:rPr>
          <w:rFonts w:ascii="宋体" w:hAnsi="宋体" w:eastAsia="宋体" w:cs="宋体"/>
          <w:sz w:val="24"/>
          <w:szCs w:val="24"/>
        </w:rPr>
        <w:t>参考了</w:t>
      </w:r>
      <w:r>
        <w:rPr>
          <w:rFonts w:hint="eastAsia" w:ascii="宋体" w:hAnsi="宋体" w:eastAsia="宋体" w:cs="宋体"/>
          <w:sz w:val="24"/>
          <w:szCs w:val="24"/>
        </w:rPr>
        <w:t>总局57号令、</w:t>
      </w:r>
      <w:r>
        <w:rPr>
          <w:rFonts w:ascii="宋体" w:hAnsi="宋体" w:eastAsia="宋体" w:cs="宋体"/>
          <w:sz w:val="24"/>
          <w:szCs w:val="24"/>
        </w:rPr>
        <w:t xml:space="preserve">TSG </w:t>
      </w:r>
      <w:r>
        <w:rPr>
          <w:rFonts w:hint="eastAsia" w:ascii="宋体" w:hAnsi="宋体" w:eastAsia="宋体" w:cs="宋体"/>
          <w:sz w:val="24"/>
          <w:szCs w:val="24"/>
        </w:rPr>
        <w:t>规范、压力容器和压力管道设计、选材、损伤识别和检验评估等国家和行业标准，以及</w:t>
      </w:r>
      <w:r>
        <w:rPr>
          <w:rFonts w:ascii="宋体" w:hAnsi="宋体" w:eastAsia="宋体" w:cs="宋体"/>
          <w:sz w:val="24"/>
          <w:szCs w:val="24"/>
        </w:rPr>
        <w:t>API</w:t>
      </w:r>
      <w:r>
        <w:rPr>
          <w:rFonts w:hint="eastAsia" w:ascii="宋体" w:hAnsi="宋体" w:eastAsia="宋体" w:cs="宋体"/>
          <w:sz w:val="24"/>
          <w:szCs w:val="24"/>
        </w:rPr>
        <w:t>和ASME相关国际标准</w:t>
      </w:r>
      <w:r>
        <w:rPr>
          <w:rFonts w:ascii="宋体" w:hAnsi="宋体" w:eastAsia="宋体" w:cs="宋体"/>
          <w:sz w:val="24"/>
          <w:szCs w:val="24"/>
        </w:rPr>
        <w:t>的部分内容</w:t>
      </w:r>
      <w:r>
        <w:rPr>
          <w:rFonts w:hint="eastAsia" w:ascii="宋体" w:hAnsi="宋体" w:eastAsia="宋体" w:cs="宋体"/>
          <w:sz w:val="24"/>
          <w:szCs w:val="24"/>
        </w:rPr>
        <w:t>，本标准给出了承压设备系统长期服役安全状况检查评定的基本技术要求和实施程序。本标准适用于</w:t>
      </w:r>
      <w:r>
        <w:rPr>
          <w:rFonts w:ascii="宋体" w:hAnsi="宋体" w:eastAsia="宋体" w:cs="宋体"/>
          <w:sz w:val="24"/>
          <w:szCs w:val="24"/>
        </w:rPr>
        <w:t>TSG 21《固定式压力容器安全技术监察规程》和TGSD7001《压力管道安全技术监察规程-工业管道》范围内，</w:t>
      </w:r>
      <w:r>
        <w:rPr>
          <w:rFonts w:hint="eastAsia" w:ascii="宋体" w:hAnsi="宋体" w:eastAsia="宋体" w:cs="宋体"/>
          <w:sz w:val="24"/>
          <w:szCs w:val="24"/>
        </w:rPr>
        <w:t>承压设备系统</w:t>
      </w:r>
      <w:r>
        <w:rPr>
          <w:rFonts w:ascii="宋体" w:hAnsi="宋体" w:eastAsia="宋体" w:cs="宋体"/>
          <w:sz w:val="24"/>
          <w:szCs w:val="24"/>
        </w:rPr>
        <w:t>中临近或超设计使用年限金属制压力容器和压力管道的安全评估。工业锅炉、常压储罐、化学工业炉等其他设备可参考使用本标准。</w:t>
      </w:r>
    </w:p>
    <w:p w14:paraId="3DC7E42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本标准主要内容包括：装置状况普查和设备筛选、损伤模式识别和失效案例审查、基于损伤模式的检验、检验结果处理、安全评估综合评价结论。标准的工程应用性更强。</w:t>
      </w:r>
    </w:p>
    <w:p w14:paraId="4CA328C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主要技术指标及应用场景包括：</w:t>
      </w:r>
    </w:p>
    <w:p w14:paraId="12F8585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针对承压设备系统多次修理改造后，资料缺失、账物不符情况突出，特别是材质不明或材质误用造成潜在严重事故隐患，基于成套装置过程装备的工艺特性，提出修正存在明显材质适用性等问题台账数据的工艺分析新方法，并给出在线现场检查确认检测方法。结合57号令等法规要求，集成应用腐蚀检查、工艺分析、材质鉴定等工程技术方法，为排查严重隐患、合理界定安全评估范围提供基础筛选技术手段。</w:t>
      </w:r>
    </w:p>
    <w:p w14:paraId="077D003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（2）针对承压设备系统无明确设计寿命问题，基于国内外设计工程实践和相关标准比对，给出设计寿命参考数据表，有效避免了选取单一设计寿命值造成的偏保守或偏不保守问题。</w:t>
      </w:r>
    </w:p>
    <w:p w14:paraId="1FC0F73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（3）针对企业对长期服役的压力容器和压力管道损伤程度认识严重不足问题，提出了成套装置损伤模式分析的腐蚀回路分析新方法，可以系统性的批量、快速分析，并保证分析结果的一致性和完整性。</w:t>
      </w:r>
    </w:p>
    <w:p w14:paraId="674BBB0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（4）针对承压设备系统检维修针对性不够问题，在不需要进行详细风险分析的条件下，根据介质危害后果，提出不同有效性等级的检测方法的选择原则，优化检验资源，合理确定检测比例。</w:t>
      </w:r>
    </w:p>
    <w:p w14:paraId="15F6FBE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针对承压设备系统出现在役损伤等问题无法有效诊断和科学评估问题，创造性提出腐蚀减薄（均匀腐蚀、局部腐蚀和点蚀）、环境开裂（氢鼓包、氢致开裂、应力导向氢致开裂、应力腐蚀开裂）、材质劣化（包括球化、石墨化、渗碳、</w:t>
      </w:r>
      <w:r>
        <w:rPr>
          <w:rFonts w:ascii="宋体" w:hAnsi="宋体" w:eastAsia="宋体" w:cs="宋体"/>
          <w:sz w:val="24"/>
          <w:szCs w:val="24"/>
        </w:rPr>
        <w:t>sigma相脆化、回火脆、敏化、再热裂纹）、蠕变、疲劳、高温氢腐蚀等</w:t>
      </w:r>
      <w:r>
        <w:rPr>
          <w:rFonts w:hint="eastAsia" w:ascii="宋体" w:hAnsi="宋体" w:eastAsia="宋体" w:cs="宋体"/>
          <w:sz w:val="24"/>
          <w:szCs w:val="24"/>
        </w:rPr>
        <w:t>五大类17种</w:t>
      </w:r>
      <w:r>
        <w:rPr>
          <w:rFonts w:ascii="宋体" w:hAnsi="宋体" w:eastAsia="宋体" w:cs="宋体"/>
          <w:sz w:val="24"/>
          <w:szCs w:val="24"/>
        </w:rPr>
        <w:t>常见损伤工程简化筛选评价量化分级和推荐检查周期，</w:t>
      </w:r>
      <w:r>
        <w:rPr>
          <w:rFonts w:hint="eastAsia" w:ascii="宋体" w:hAnsi="宋体" w:eastAsia="宋体" w:cs="宋体"/>
          <w:sz w:val="24"/>
          <w:szCs w:val="24"/>
        </w:rPr>
        <w:t>明确了合于使用评价启动条件，并对这些常见损伤及其蠕变+疲劳、蠕变+渗碳等多损伤模式联合作用给出了</w:t>
      </w:r>
      <w:r>
        <w:rPr>
          <w:rFonts w:ascii="宋体" w:hAnsi="宋体" w:eastAsia="宋体" w:cs="宋体"/>
          <w:sz w:val="24"/>
          <w:szCs w:val="24"/>
        </w:rPr>
        <w:t>合于使用评价技术路线</w:t>
      </w:r>
      <w:r>
        <w:rPr>
          <w:rFonts w:hint="eastAsia" w:ascii="宋体" w:hAnsi="宋体" w:eastAsia="宋体" w:cs="宋体"/>
          <w:sz w:val="24"/>
          <w:szCs w:val="24"/>
        </w:rPr>
        <w:t>。</w:t>
      </w:r>
    </w:p>
    <w:p w14:paraId="13E10E8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3.主要试验（或验证）情况</w:t>
      </w:r>
    </w:p>
    <w:p w14:paraId="61CC8BE5">
      <w:pPr>
        <w:spacing w:line="360" w:lineRule="auto"/>
        <w:ind w:firstLine="480" w:firstLineChars="200"/>
        <w:rPr>
          <w:rFonts w:hint="eastAsia" w:ascii="宋体" w:hAnsi="宋体" w:cs="宋体"/>
          <w:bCs/>
          <w:sz w:val="24"/>
          <w:szCs w:val="24"/>
        </w:rPr>
      </w:pPr>
      <w:r>
        <w:rPr>
          <w:rFonts w:hint="eastAsia" w:ascii="宋体" w:hAnsi="宋体" w:cs="宋体"/>
          <w:bCs/>
          <w:sz w:val="24"/>
          <w:szCs w:val="24"/>
        </w:rPr>
        <w:t>本标准主要技术内容采用的技术方法，例如基于腐蚀回路的成套装置损伤模式分析方法、基于损伤模式的检验技术，针对不同损伤模式和缺陷的工程简化筛选评价方法，尤其是针对材质劣化损伤如球化、石墨化、回火脆、sigma相脆化、渗碳、敏化，以及蠕变、疲劳、高温氢腐蚀等损伤的量化分级评价方法，基于塑性极限载荷准则或断裂准则的更高等级的合于使用评价技术，均依据现行国家和行业标准以及多年积累的工程经验，用户可直接对照本标准条款使用，兼具科学性和可操作性。</w:t>
      </w:r>
    </w:p>
    <w:p w14:paraId="4BC64303">
      <w:pPr>
        <w:widowControl/>
        <w:spacing w:line="560" w:lineRule="exact"/>
        <w:ind w:firstLine="640" w:firstLineChars="200"/>
        <w:jc w:val="left"/>
        <w:rPr>
          <w:rFonts w:hint="eastAsia" w:ascii="方正仿宋_GBK" w:hAnsi="方正仿宋_GBK" w:eastAsia="方正仿宋_GBK" w:cs="方正仿宋_GBK"/>
          <w:kern w:val="0"/>
          <w:sz w:val="32"/>
          <w:szCs w:val="32"/>
        </w:rPr>
      </w:pPr>
      <w:r>
        <w:rPr>
          <w:rFonts w:hint="eastAsia" w:ascii="方正黑体_GBK" w:hAnsi="方正黑体_GBK" w:eastAsia="方正黑体_GBK" w:cs="方正黑体_GBK"/>
          <w:kern w:val="0"/>
          <w:sz w:val="32"/>
          <w:szCs w:val="32"/>
        </w:rPr>
        <w:t xml:space="preserve">五、与相关法律法规和国家标准的关系 </w:t>
      </w:r>
      <w:bookmarkStart w:id="0" w:name="_GoBack"/>
      <w:bookmarkEnd w:id="0"/>
      <w:r>
        <w:rPr>
          <w:rFonts w:hint="eastAsia" w:ascii="方正仿宋_GBK" w:hAnsi="方正仿宋_GBK" w:eastAsia="方正仿宋_GBK" w:cs="方正仿宋_GBK"/>
          <w:kern w:val="0"/>
          <w:sz w:val="32"/>
          <w:szCs w:val="32"/>
        </w:rPr>
        <w:t xml:space="preserve"> </w:t>
      </w:r>
    </w:p>
    <w:p w14:paraId="58BEB0E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ascii="宋体" w:hAnsi="宋体" w:eastAsia="宋体" w:cs="宋体"/>
          <w:sz w:val="24"/>
          <w:szCs w:val="24"/>
        </w:rPr>
        <w:t>与有关的现行法律、法规和强制性国家标准的关系</w:t>
      </w:r>
    </w:p>
    <w:p w14:paraId="23DC6B0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本标准引用《特种设备安全监督检查办法》（总局57号令）、TSG 21等规章规范，GB/T30579、GB/T26610、GB/T35013、GB/T19624等特种设备领域核心国家标准、以及电力DL、化工HG、能源NB等行业标准有关内容，并参考API等国外标准，是对TSG21、相关国家和行业标准等相应条款的工程转化。</w:t>
      </w:r>
    </w:p>
    <w:p w14:paraId="5859D44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部分规范性引用主要文件名称如下： </w:t>
      </w:r>
    </w:p>
    <w:p w14:paraId="18ED7A9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TSG 21 固定式压力容器安全技术监察规程 </w:t>
      </w:r>
    </w:p>
    <w:p w14:paraId="46F0842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TSG D7005 压力管道定期检验规则——工业管道</w:t>
      </w:r>
    </w:p>
    <w:p w14:paraId="3001EC8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TSG D0001 压力管道安全技术监察规程-工业管道</w:t>
      </w:r>
    </w:p>
    <w:p w14:paraId="1014162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GB/T30579 承压设备损伤模式识别 </w:t>
      </w:r>
    </w:p>
    <w:p w14:paraId="7E05E15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GB/T26610 承压设备系统基于风险的检验实施导则 </w:t>
      </w:r>
    </w:p>
    <w:p w14:paraId="0A8BDE1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GB/T35013 承压设备合于使用评价 </w:t>
      </w:r>
    </w:p>
    <w:p w14:paraId="7AE8CAF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GB/T19624 在用压力容器安全评定 </w:t>
      </w:r>
    </w:p>
    <w:p w14:paraId="471348C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API 579-1/ASME FFS-1, 2016 合于使用评价（Fitness-For-Service）</w:t>
      </w:r>
    </w:p>
    <w:p w14:paraId="7B24D4D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本标准的研究制定，在内容上满足TSG 21、TSG D7005、SG D0001等安全技术规范的基本安全要求，不存在违反相关法律法规及强制性标准的情况，与现行特种设备相关国家和行业标准协调互补，主要体现在结合工程经验，对法规的一些原则性的基本安全要求的细化和量化，更加具有专业性、针对性和可操作性，从而更好的满足承压设备系统长期服役安全状况评定的工作需要。</w:t>
      </w:r>
    </w:p>
    <w:p w14:paraId="3E833902">
      <w:pPr>
        <w:spacing w:line="360" w:lineRule="auto"/>
        <w:ind w:firstLine="480" w:firstLineChars="200"/>
        <w:rPr>
          <w:rFonts w:hint="eastAsia" w:ascii="宋体" w:hAnsi="宋体" w:cs="宋体"/>
          <w:bCs/>
          <w:sz w:val="24"/>
          <w:szCs w:val="24"/>
        </w:rPr>
      </w:pPr>
      <w:r>
        <w:rPr>
          <w:rFonts w:hint="eastAsia" w:ascii="宋体" w:hAnsi="宋体" w:cs="宋体"/>
          <w:bCs/>
          <w:sz w:val="24"/>
          <w:szCs w:val="24"/>
        </w:rPr>
        <w:t>本标准可支撑《固定式压力容器安全技术监察规程》和《压力管道安全技术监察规程</w:t>
      </w:r>
      <w:r>
        <w:rPr>
          <w:rFonts w:ascii="宋体" w:hAnsi="宋体" w:cs="宋体"/>
          <w:bCs/>
          <w:sz w:val="24"/>
          <w:szCs w:val="24"/>
        </w:rPr>
        <w:t>——</w:t>
      </w:r>
      <w:r>
        <w:rPr>
          <w:rFonts w:hint="eastAsia" w:ascii="宋体" w:hAnsi="宋体" w:cs="宋体"/>
          <w:bCs/>
          <w:sz w:val="24"/>
          <w:szCs w:val="24"/>
        </w:rPr>
        <w:t>工业管道》等特种设备安全技术规范的实施，是重要的协调标准。</w:t>
      </w:r>
    </w:p>
    <w:p w14:paraId="4554F313">
      <w:pPr>
        <w:spacing w:line="360" w:lineRule="auto"/>
        <w:ind w:firstLine="480" w:firstLineChars="200"/>
        <w:rPr>
          <w:rFonts w:hint="eastAsia" w:ascii="宋体" w:hAnsi="宋体" w:cs="宋体"/>
          <w:bCs/>
          <w:sz w:val="24"/>
          <w:szCs w:val="24"/>
        </w:rPr>
      </w:pPr>
      <w:r>
        <w:rPr>
          <w:rFonts w:hint="eastAsia" w:ascii="宋体" w:hAnsi="宋体" w:cs="宋体"/>
          <w:bCs/>
          <w:sz w:val="24"/>
          <w:szCs w:val="24"/>
        </w:rPr>
        <w:t>2.</w:t>
      </w:r>
      <w:r>
        <w:rPr>
          <w:rFonts w:ascii="宋体" w:hAnsi="宋体" w:cs="宋体"/>
          <w:bCs/>
          <w:sz w:val="24"/>
          <w:szCs w:val="24"/>
        </w:rPr>
        <w:t>标准水平</w:t>
      </w:r>
    </w:p>
    <w:p w14:paraId="63F62D03">
      <w:pPr>
        <w:spacing w:line="360" w:lineRule="auto"/>
        <w:ind w:firstLine="480" w:firstLineChars="200"/>
        <w:rPr>
          <w:rFonts w:hint="eastAsia" w:ascii="宋体" w:hAnsi="宋体" w:cs="宋体"/>
          <w:sz w:val="24"/>
          <w:szCs w:val="24"/>
        </w:rPr>
      </w:pPr>
      <w:r>
        <w:rPr>
          <w:rFonts w:ascii="宋体" w:hAnsi="宋体" w:cs="宋体"/>
          <w:sz w:val="24"/>
          <w:szCs w:val="24"/>
        </w:rPr>
        <w:t>本标准是根据国内外承压设备</w:t>
      </w:r>
      <w:r>
        <w:rPr>
          <w:rFonts w:hint="eastAsia" w:ascii="宋体" w:hAnsi="宋体" w:cs="宋体"/>
          <w:sz w:val="24"/>
          <w:szCs w:val="24"/>
        </w:rPr>
        <w:t>长期服役安全状况检查评定技术</w:t>
      </w:r>
      <w:r>
        <w:rPr>
          <w:rFonts w:ascii="宋体" w:hAnsi="宋体" w:cs="宋体"/>
          <w:sz w:val="24"/>
          <w:szCs w:val="24"/>
        </w:rPr>
        <w:t>的发展情况，总结了国内含缺陷或损伤的承压设备</w:t>
      </w:r>
      <w:r>
        <w:rPr>
          <w:rFonts w:hint="eastAsia" w:ascii="宋体" w:hAnsi="宋体" w:cs="宋体"/>
          <w:sz w:val="24"/>
          <w:szCs w:val="24"/>
        </w:rPr>
        <w:t>长期服役检查评定</w:t>
      </w:r>
      <w:r>
        <w:rPr>
          <w:rFonts w:ascii="宋体" w:hAnsi="宋体" w:cs="宋体"/>
          <w:sz w:val="24"/>
          <w:szCs w:val="24"/>
        </w:rPr>
        <w:t>项目的实施经验</w:t>
      </w:r>
      <w:r>
        <w:rPr>
          <w:rFonts w:hint="eastAsia" w:ascii="宋体" w:hAnsi="宋体" w:cs="宋体"/>
          <w:sz w:val="24"/>
          <w:szCs w:val="24"/>
        </w:rPr>
        <w:t>，</w:t>
      </w:r>
      <w:r>
        <w:rPr>
          <w:rFonts w:ascii="宋体" w:hAnsi="宋体" w:cs="宋体"/>
          <w:sz w:val="24"/>
          <w:szCs w:val="24"/>
        </w:rPr>
        <w:t>该标准达到</w:t>
      </w:r>
      <w:r>
        <w:rPr>
          <w:rFonts w:hint="eastAsia" w:ascii="宋体" w:hAnsi="宋体" w:cs="宋体"/>
          <w:sz w:val="24"/>
          <w:szCs w:val="24"/>
        </w:rPr>
        <w:t>国内先进</w:t>
      </w:r>
      <w:r>
        <w:rPr>
          <w:rFonts w:ascii="宋体" w:hAnsi="宋体" w:cs="宋体"/>
          <w:sz w:val="24"/>
          <w:szCs w:val="24"/>
        </w:rPr>
        <w:t>水平。</w:t>
      </w:r>
    </w:p>
    <w:p w14:paraId="19B55D8B">
      <w:pPr>
        <w:widowControl/>
        <w:spacing w:line="560" w:lineRule="exact"/>
        <w:ind w:firstLine="640" w:firstLineChars="200"/>
        <w:jc w:val="left"/>
        <w:rPr>
          <w:rFonts w:hint="eastAsia"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 xml:space="preserve">六、实施推广建议 </w:t>
      </w:r>
    </w:p>
    <w:p w14:paraId="37D6459E">
      <w:pPr>
        <w:widowControl/>
        <w:spacing w:line="560" w:lineRule="exact"/>
        <w:ind w:firstLine="640" w:firstLineChars="200"/>
        <w:jc w:val="left"/>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简述适合地域、领域及注意事项等。</w:t>
      </w:r>
    </w:p>
    <w:p w14:paraId="0EA4D9A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本标准将作为标准主要完成单位开展超期服役的承压设备系统安全状况评定工作的一个主要依据。该标准实施以后，南京工业大学、</w:t>
      </w:r>
      <w:r>
        <w:rPr>
          <w:rFonts w:ascii="宋体" w:hAnsi="宋体" w:eastAsia="宋体" w:cs="宋体"/>
          <w:sz w:val="24"/>
          <w:szCs w:val="24"/>
        </w:rPr>
        <w:t>江苏省特种设备安全监督检验研究院</w:t>
      </w:r>
      <w:r>
        <w:rPr>
          <w:rFonts w:hint="eastAsia" w:ascii="宋体" w:hAnsi="宋体" w:eastAsia="宋体" w:cs="宋体"/>
          <w:sz w:val="24"/>
          <w:szCs w:val="24"/>
        </w:rPr>
        <w:t>等主要起草单位可以利用本标准成果，充分利用已有客户资源，在江苏省域内中石化、中石油、中海油等企业承压设备的定期检验、风险评估、腐蚀检查、隐患排查、失效分析和完整性管理等综合技术服务项目中，针对长期服役承压设备系统积极开展合于使用评价等安全状况评定及相关技术服务。</w:t>
      </w:r>
    </w:p>
    <w:p w14:paraId="0A0282F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本标准发布后，江苏省地方特种设备检验和管理等行业协会可将其作为培训教材，面向省内检验机构和检验人员进行培训宣贯，面向省内各类企业技术和管理人员，开展标准应用案例培训宣贯。</w:t>
      </w:r>
    </w:p>
    <w:p w14:paraId="57F5AAB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标准发布后，建议江苏省市场监管部门和应急管理部门将其作为开展特种设备现场监督检查、双重预防工作的一个配套支撑文件。同时本标准也将为政府安全监察、事故调查处理等方面提供技术支持，尤其是长期服役承压设备系统，可以利用本标准开展技术鉴定，最终为调查组查清楚事故原因，确定事故性质，分清事故责任提供科学依据，为江苏省市场监管局根据调查结论，督促事发单位排查同类安全隐患提供技术支持，避免带严重隐患的承压设备长期带病运行所带来的系统性风险</w:t>
      </w:r>
      <w:r>
        <w:rPr>
          <w:rFonts w:ascii="宋体" w:hAnsi="宋体" w:eastAsia="宋体" w:cs="宋体"/>
          <w:sz w:val="24"/>
          <w:szCs w:val="24"/>
        </w:rPr>
        <w:t>。</w:t>
      </w:r>
    </w:p>
    <w:p w14:paraId="44C616F5">
      <w:pPr>
        <w:spacing w:line="360" w:lineRule="auto"/>
        <w:ind w:firstLine="480" w:firstLineChars="200"/>
        <w:jc w:val="left"/>
        <w:rPr>
          <w:rFonts w:ascii="Times New Roman" w:hAnsi="Times New Roman"/>
          <w:kern w:val="0"/>
          <w:sz w:val="24"/>
          <w:szCs w:val="24"/>
        </w:rPr>
      </w:pPr>
    </w:p>
    <w:p w14:paraId="2D9AE970">
      <w:pPr>
        <w:spacing w:line="360" w:lineRule="auto"/>
        <w:ind w:firstLine="480" w:firstLineChars="200"/>
        <w:jc w:val="right"/>
        <w:rPr>
          <w:rFonts w:hint="eastAsia" w:ascii="宋体" w:hAnsi="宋体" w:eastAsia="宋体" w:cs="宋体"/>
          <w:sz w:val="24"/>
          <w:szCs w:val="24"/>
        </w:rPr>
      </w:pPr>
      <w:r>
        <w:rPr>
          <w:rFonts w:ascii="宋体" w:hAnsi="宋体" w:eastAsia="宋体" w:cs="宋体"/>
          <w:sz w:val="24"/>
          <w:szCs w:val="24"/>
        </w:rPr>
        <w:t>《承压设备</w:t>
      </w:r>
      <w:r>
        <w:rPr>
          <w:rFonts w:hint="eastAsia" w:ascii="宋体" w:hAnsi="宋体" w:eastAsia="宋体" w:cs="宋体"/>
          <w:sz w:val="24"/>
          <w:szCs w:val="24"/>
        </w:rPr>
        <w:t>系统长期服役安全状况检查评定方法</w:t>
      </w:r>
      <w:r>
        <w:rPr>
          <w:rFonts w:ascii="宋体" w:hAnsi="宋体" w:eastAsia="宋体" w:cs="宋体"/>
          <w:sz w:val="24"/>
          <w:szCs w:val="24"/>
        </w:rPr>
        <w:t>》标准编制工作组</w:t>
      </w:r>
    </w:p>
    <w:p w14:paraId="10CC8856">
      <w:pPr>
        <w:spacing w:line="360" w:lineRule="auto"/>
        <w:ind w:firstLine="480" w:firstLineChars="200"/>
        <w:jc w:val="right"/>
        <w:rPr>
          <w:rFonts w:hint="eastAsia" w:ascii="宋体" w:hAnsi="宋体" w:eastAsia="宋体" w:cs="宋体"/>
          <w:sz w:val="24"/>
          <w:szCs w:val="24"/>
        </w:rPr>
      </w:pPr>
      <w:r>
        <w:rPr>
          <w:rFonts w:hint="eastAsia" w:ascii="宋体" w:hAnsi="宋体" w:eastAsia="宋体" w:cs="宋体"/>
          <w:sz w:val="24"/>
          <w:szCs w:val="24"/>
        </w:rPr>
        <w:t>2024年</w:t>
      </w:r>
      <w:r>
        <w:rPr>
          <w:rFonts w:hint="eastAsia" w:ascii="宋体" w:hAnsi="宋体" w:eastAsia="宋体" w:cs="宋体"/>
          <w:sz w:val="24"/>
          <w:szCs w:val="24"/>
          <w:lang w:val="en-US" w:eastAsia="zh-CN"/>
        </w:rPr>
        <w:t>08</w:t>
      </w:r>
      <w:r>
        <w:rPr>
          <w:rFonts w:hint="eastAsia" w:ascii="宋体" w:hAnsi="宋体" w:eastAsia="宋体" w:cs="宋体"/>
          <w:sz w:val="24"/>
          <w:szCs w:val="24"/>
        </w:rPr>
        <w:t>月</w:t>
      </w:r>
      <w:r>
        <w:rPr>
          <w:rFonts w:hint="eastAsia" w:ascii="宋体" w:hAnsi="宋体" w:eastAsia="宋体" w:cs="宋体"/>
          <w:sz w:val="24"/>
          <w:szCs w:val="24"/>
          <w:lang w:val="en-US" w:eastAsia="zh-CN"/>
        </w:rPr>
        <w:t>30</w:t>
      </w:r>
      <w:r>
        <w:rPr>
          <w:rFonts w:hint="eastAsia" w:ascii="宋体" w:hAnsi="宋体" w:eastAsia="宋体" w:cs="宋体"/>
          <w:sz w:val="24"/>
          <w:szCs w:val="24"/>
        </w:rPr>
        <w:t>日</w:t>
      </w:r>
    </w:p>
    <w:p w14:paraId="29886C7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0" w:usb3="00000000" w:csb0="00000001" w:csb1="00000000"/>
  </w:font>
  <w:font w:name="方正黑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QzMDViOTQyZDA3NTI0YWJmMzYzY2NkZDZkNzgwYTYifQ=="/>
  </w:docVars>
  <w:rsids>
    <w:rsidRoot w:val="00F6016E"/>
    <w:rsid w:val="0000691E"/>
    <w:rsid w:val="000107E5"/>
    <w:rsid w:val="00010DA5"/>
    <w:rsid w:val="00027C22"/>
    <w:rsid w:val="00034940"/>
    <w:rsid w:val="00043577"/>
    <w:rsid w:val="00061553"/>
    <w:rsid w:val="00062659"/>
    <w:rsid w:val="000706EC"/>
    <w:rsid w:val="00073732"/>
    <w:rsid w:val="0007617D"/>
    <w:rsid w:val="000B11A0"/>
    <w:rsid w:val="000B51D8"/>
    <w:rsid w:val="000C02EB"/>
    <w:rsid w:val="000D1006"/>
    <w:rsid w:val="000E057C"/>
    <w:rsid w:val="000E55BF"/>
    <w:rsid w:val="000F18A0"/>
    <w:rsid w:val="00102FDE"/>
    <w:rsid w:val="00121F47"/>
    <w:rsid w:val="001324EE"/>
    <w:rsid w:val="00133709"/>
    <w:rsid w:val="00134C6D"/>
    <w:rsid w:val="00140082"/>
    <w:rsid w:val="00141300"/>
    <w:rsid w:val="00144F6E"/>
    <w:rsid w:val="00145891"/>
    <w:rsid w:val="001630A7"/>
    <w:rsid w:val="001716DE"/>
    <w:rsid w:val="00180C91"/>
    <w:rsid w:val="001A11A2"/>
    <w:rsid w:val="001A43B5"/>
    <w:rsid w:val="001A4B2A"/>
    <w:rsid w:val="001C1164"/>
    <w:rsid w:val="001D69F6"/>
    <w:rsid w:val="002058FE"/>
    <w:rsid w:val="00230027"/>
    <w:rsid w:val="002339F0"/>
    <w:rsid w:val="00234F35"/>
    <w:rsid w:val="00244114"/>
    <w:rsid w:val="00252137"/>
    <w:rsid w:val="0025706D"/>
    <w:rsid w:val="00270476"/>
    <w:rsid w:val="00284353"/>
    <w:rsid w:val="002A228F"/>
    <w:rsid w:val="002A6552"/>
    <w:rsid w:val="002A7B8C"/>
    <w:rsid w:val="002B7E82"/>
    <w:rsid w:val="002D0D6F"/>
    <w:rsid w:val="002D1640"/>
    <w:rsid w:val="002D4A9C"/>
    <w:rsid w:val="002E5708"/>
    <w:rsid w:val="002F1617"/>
    <w:rsid w:val="003311B6"/>
    <w:rsid w:val="00355802"/>
    <w:rsid w:val="003607F7"/>
    <w:rsid w:val="0036115F"/>
    <w:rsid w:val="0036302A"/>
    <w:rsid w:val="00383ADB"/>
    <w:rsid w:val="003961B9"/>
    <w:rsid w:val="003A53EB"/>
    <w:rsid w:val="003A67F1"/>
    <w:rsid w:val="003B3560"/>
    <w:rsid w:val="003B530F"/>
    <w:rsid w:val="003D0222"/>
    <w:rsid w:val="003D52F0"/>
    <w:rsid w:val="003E086A"/>
    <w:rsid w:val="003E09EF"/>
    <w:rsid w:val="003E4ECB"/>
    <w:rsid w:val="003E5806"/>
    <w:rsid w:val="00400D6F"/>
    <w:rsid w:val="004144A3"/>
    <w:rsid w:val="00425D14"/>
    <w:rsid w:val="004326F9"/>
    <w:rsid w:val="00432B24"/>
    <w:rsid w:val="00432C49"/>
    <w:rsid w:val="004339FD"/>
    <w:rsid w:val="004404D3"/>
    <w:rsid w:val="00442E59"/>
    <w:rsid w:val="00444866"/>
    <w:rsid w:val="004566C1"/>
    <w:rsid w:val="00471B53"/>
    <w:rsid w:val="00491A7B"/>
    <w:rsid w:val="004A578E"/>
    <w:rsid w:val="004B69E5"/>
    <w:rsid w:val="004E4732"/>
    <w:rsid w:val="004F254D"/>
    <w:rsid w:val="005006EF"/>
    <w:rsid w:val="00502295"/>
    <w:rsid w:val="00511D6E"/>
    <w:rsid w:val="00523FB3"/>
    <w:rsid w:val="00552B42"/>
    <w:rsid w:val="0055459C"/>
    <w:rsid w:val="005678E6"/>
    <w:rsid w:val="00583821"/>
    <w:rsid w:val="00584912"/>
    <w:rsid w:val="005942CF"/>
    <w:rsid w:val="005B19D3"/>
    <w:rsid w:val="005C3888"/>
    <w:rsid w:val="005D01F6"/>
    <w:rsid w:val="005F2F1C"/>
    <w:rsid w:val="005F6D8E"/>
    <w:rsid w:val="00610270"/>
    <w:rsid w:val="006209FA"/>
    <w:rsid w:val="006A3289"/>
    <w:rsid w:val="006A608E"/>
    <w:rsid w:val="006B0160"/>
    <w:rsid w:val="006B3773"/>
    <w:rsid w:val="006B6BE2"/>
    <w:rsid w:val="006E5841"/>
    <w:rsid w:val="00731807"/>
    <w:rsid w:val="00732315"/>
    <w:rsid w:val="0074514C"/>
    <w:rsid w:val="0074533E"/>
    <w:rsid w:val="0075277D"/>
    <w:rsid w:val="00754E27"/>
    <w:rsid w:val="00775840"/>
    <w:rsid w:val="00791AE1"/>
    <w:rsid w:val="007943EF"/>
    <w:rsid w:val="007B06D6"/>
    <w:rsid w:val="007B7987"/>
    <w:rsid w:val="007C5383"/>
    <w:rsid w:val="007D7842"/>
    <w:rsid w:val="007E3EE3"/>
    <w:rsid w:val="007F0FA4"/>
    <w:rsid w:val="00814D2D"/>
    <w:rsid w:val="008168CB"/>
    <w:rsid w:val="008305F7"/>
    <w:rsid w:val="0083168D"/>
    <w:rsid w:val="008525DE"/>
    <w:rsid w:val="00854E5A"/>
    <w:rsid w:val="00856476"/>
    <w:rsid w:val="0085699E"/>
    <w:rsid w:val="00872679"/>
    <w:rsid w:val="008936FA"/>
    <w:rsid w:val="00897C86"/>
    <w:rsid w:val="008E3CB7"/>
    <w:rsid w:val="008E59D2"/>
    <w:rsid w:val="008F63DF"/>
    <w:rsid w:val="00902FB2"/>
    <w:rsid w:val="0090595E"/>
    <w:rsid w:val="0091324C"/>
    <w:rsid w:val="009200BE"/>
    <w:rsid w:val="00924984"/>
    <w:rsid w:val="00933359"/>
    <w:rsid w:val="00952B0A"/>
    <w:rsid w:val="00952B99"/>
    <w:rsid w:val="009609FD"/>
    <w:rsid w:val="00973A43"/>
    <w:rsid w:val="009812E4"/>
    <w:rsid w:val="00987777"/>
    <w:rsid w:val="009877A2"/>
    <w:rsid w:val="009A6C09"/>
    <w:rsid w:val="009B6CEC"/>
    <w:rsid w:val="009D04D8"/>
    <w:rsid w:val="009D1FCF"/>
    <w:rsid w:val="009E2728"/>
    <w:rsid w:val="00A25F24"/>
    <w:rsid w:val="00A337B5"/>
    <w:rsid w:val="00A53A3C"/>
    <w:rsid w:val="00A6072A"/>
    <w:rsid w:val="00A67CDD"/>
    <w:rsid w:val="00AA006A"/>
    <w:rsid w:val="00AB0336"/>
    <w:rsid w:val="00AC1BCF"/>
    <w:rsid w:val="00AC2BBD"/>
    <w:rsid w:val="00AC68DE"/>
    <w:rsid w:val="00B018F2"/>
    <w:rsid w:val="00B10864"/>
    <w:rsid w:val="00B2388B"/>
    <w:rsid w:val="00B23AE9"/>
    <w:rsid w:val="00B23BDA"/>
    <w:rsid w:val="00B32E90"/>
    <w:rsid w:val="00B376B2"/>
    <w:rsid w:val="00B40196"/>
    <w:rsid w:val="00B47AC5"/>
    <w:rsid w:val="00BA03E3"/>
    <w:rsid w:val="00BB4E92"/>
    <w:rsid w:val="00BC7B93"/>
    <w:rsid w:val="00BE3F0D"/>
    <w:rsid w:val="00BE66AD"/>
    <w:rsid w:val="00C0290E"/>
    <w:rsid w:val="00C03156"/>
    <w:rsid w:val="00C14BD0"/>
    <w:rsid w:val="00C15925"/>
    <w:rsid w:val="00C22437"/>
    <w:rsid w:val="00C25439"/>
    <w:rsid w:val="00C353FF"/>
    <w:rsid w:val="00C4426B"/>
    <w:rsid w:val="00C50AFE"/>
    <w:rsid w:val="00C51514"/>
    <w:rsid w:val="00C87FC6"/>
    <w:rsid w:val="00C94E97"/>
    <w:rsid w:val="00CA1051"/>
    <w:rsid w:val="00CA11BF"/>
    <w:rsid w:val="00CC6644"/>
    <w:rsid w:val="00CD5B45"/>
    <w:rsid w:val="00CF0765"/>
    <w:rsid w:val="00CF5344"/>
    <w:rsid w:val="00CF5353"/>
    <w:rsid w:val="00D00FAD"/>
    <w:rsid w:val="00D10B24"/>
    <w:rsid w:val="00D131D6"/>
    <w:rsid w:val="00D16D83"/>
    <w:rsid w:val="00D30F5A"/>
    <w:rsid w:val="00D40931"/>
    <w:rsid w:val="00D67CF7"/>
    <w:rsid w:val="00D70234"/>
    <w:rsid w:val="00D823C4"/>
    <w:rsid w:val="00D92F0B"/>
    <w:rsid w:val="00DA6522"/>
    <w:rsid w:val="00DB4F65"/>
    <w:rsid w:val="00DC19BE"/>
    <w:rsid w:val="00DC3D53"/>
    <w:rsid w:val="00DC5D31"/>
    <w:rsid w:val="00DE7DC5"/>
    <w:rsid w:val="00E12BD7"/>
    <w:rsid w:val="00E26B59"/>
    <w:rsid w:val="00E36C8F"/>
    <w:rsid w:val="00E5387F"/>
    <w:rsid w:val="00E61FEE"/>
    <w:rsid w:val="00E70970"/>
    <w:rsid w:val="00E76423"/>
    <w:rsid w:val="00E80811"/>
    <w:rsid w:val="00E832B4"/>
    <w:rsid w:val="00E855A0"/>
    <w:rsid w:val="00E96CA3"/>
    <w:rsid w:val="00EB0BCE"/>
    <w:rsid w:val="00ED0490"/>
    <w:rsid w:val="00F1440D"/>
    <w:rsid w:val="00F14AB4"/>
    <w:rsid w:val="00F23DEF"/>
    <w:rsid w:val="00F322BE"/>
    <w:rsid w:val="00F33376"/>
    <w:rsid w:val="00F405EE"/>
    <w:rsid w:val="00F44A6F"/>
    <w:rsid w:val="00F531D1"/>
    <w:rsid w:val="00F6016E"/>
    <w:rsid w:val="00F815F7"/>
    <w:rsid w:val="00F867F4"/>
    <w:rsid w:val="00FA78A2"/>
    <w:rsid w:val="00FB012F"/>
    <w:rsid w:val="00FB2013"/>
    <w:rsid w:val="00FB3912"/>
    <w:rsid w:val="00FB778E"/>
    <w:rsid w:val="00FB7F47"/>
    <w:rsid w:val="00FC6E55"/>
    <w:rsid w:val="00FD1289"/>
    <w:rsid w:val="00FD2122"/>
    <w:rsid w:val="00FE6ADA"/>
    <w:rsid w:val="00FF272D"/>
    <w:rsid w:val="09B23975"/>
    <w:rsid w:val="78CE35C8"/>
    <w:rsid w:val="7D7D1895"/>
    <w:rsid w:val="B35F7CCA"/>
    <w:rsid w:val="EFB7175B"/>
    <w:rsid w:val="FC7F06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uiPriority="99" w:name="page number"/>
    <w:lsdException w:qFormat="1" w:unhideWhenUsed="0" w:uiPriority="0"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9"/>
    <w:unhideWhenUsed/>
    <w:qFormat/>
    <w:uiPriority w:val="0"/>
    <w:pPr>
      <w:widowControl/>
      <w:jc w:val="left"/>
    </w:pPr>
    <w:rPr>
      <w:rFonts w:ascii="Times" w:hAnsi="Times" w:eastAsia="宋体" w:cs="Times New Roman"/>
      <w:kern w:val="0"/>
      <w:sz w:val="24"/>
      <w:szCs w:val="24"/>
    </w:rPr>
  </w:style>
  <w:style w:type="paragraph" w:styleId="3">
    <w:name w:val="Balloon Text"/>
    <w:basedOn w:val="1"/>
    <w:link w:val="20"/>
    <w:semiHidden/>
    <w:unhideWhenUsed/>
    <w:qFormat/>
    <w:uiPriority w:val="99"/>
    <w:rPr>
      <w:sz w:val="18"/>
      <w:szCs w:val="18"/>
    </w:rPr>
  </w:style>
  <w:style w:type="paragraph" w:styleId="4">
    <w:name w:val="footer"/>
    <w:basedOn w:val="1"/>
    <w:link w:val="24"/>
    <w:semiHidden/>
    <w:unhideWhenUsed/>
    <w:qFormat/>
    <w:uiPriority w:val="99"/>
    <w:pPr>
      <w:tabs>
        <w:tab w:val="center" w:pos="4153"/>
        <w:tab w:val="right" w:pos="8306"/>
      </w:tabs>
      <w:snapToGrid w:val="0"/>
      <w:jc w:val="left"/>
    </w:pPr>
    <w:rPr>
      <w:sz w:val="18"/>
      <w:szCs w:val="18"/>
    </w:rPr>
  </w:style>
  <w:style w:type="paragraph" w:styleId="5">
    <w:name w:val="header"/>
    <w:basedOn w:val="1"/>
    <w:link w:val="23"/>
    <w:semiHidden/>
    <w:unhideWhenUsed/>
    <w:uiPriority w:val="99"/>
    <w:pPr>
      <w:pBdr>
        <w:bottom w:val="single" w:color="auto" w:sz="6" w:space="1"/>
      </w:pBdr>
      <w:tabs>
        <w:tab w:val="center" w:pos="4153"/>
        <w:tab w:val="right" w:pos="8306"/>
      </w:tabs>
      <w:snapToGrid w:val="0"/>
      <w:jc w:val="center"/>
    </w:pPr>
    <w:rPr>
      <w:sz w:val="18"/>
      <w:szCs w:val="18"/>
    </w:rPr>
  </w:style>
  <w:style w:type="character" w:styleId="8">
    <w:name w:val="endnote reference"/>
    <w:semiHidden/>
    <w:qFormat/>
    <w:uiPriority w:val="0"/>
    <w:rPr>
      <w:vertAlign w:val="superscript"/>
    </w:rPr>
  </w:style>
  <w:style w:type="character" w:styleId="9">
    <w:name w:val="Hyperlink"/>
    <w:basedOn w:val="7"/>
    <w:unhideWhenUsed/>
    <w:qFormat/>
    <w:uiPriority w:val="99"/>
    <w:rPr>
      <w:color w:val="136EC2"/>
      <w:u w:val="single"/>
    </w:rPr>
  </w:style>
  <w:style w:type="character" w:styleId="10">
    <w:name w:val="annotation reference"/>
    <w:semiHidden/>
    <w:qFormat/>
    <w:uiPriority w:val="0"/>
    <w:rPr>
      <w:sz w:val="21"/>
      <w:szCs w:val="21"/>
    </w:rPr>
  </w:style>
  <w:style w:type="paragraph" w:customStyle="1" w:styleId="11">
    <w:name w:val="段"/>
    <w:basedOn w:val="1"/>
    <w:link w:val="12"/>
    <w:autoRedefine/>
    <w:qFormat/>
    <w:uiPriority w:val="0"/>
    <w:pPr>
      <w:widowControl/>
      <w:adjustRightInd w:val="0"/>
      <w:snapToGrid w:val="0"/>
      <w:spacing w:line="340" w:lineRule="exact"/>
      <w:ind w:firstLine="200" w:firstLineChars="200"/>
    </w:pPr>
    <w:rPr>
      <w:rFonts w:ascii="Times New Roman" w:hAnsi="Times New Roman" w:eastAsia="宋体" w:cs="Times New Roman"/>
      <w:bCs/>
      <w:spacing w:val="4"/>
      <w:kern w:val="21"/>
      <w:szCs w:val="21"/>
    </w:rPr>
  </w:style>
  <w:style w:type="character" w:customStyle="1" w:styleId="12">
    <w:name w:val="段 Char"/>
    <w:link w:val="11"/>
    <w:autoRedefine/>
    <w:qFormat/>
    <w:uiPriority w:val="0"/>
    <w:rPr>
      <w:rFonts w:ascii="Times New Roman" w:hAnsi="Times New Roman" w:eastAsia="宋体" w:cs="Times New Roman"/>
      <w:bCs/>
      <w:spacing w:val="4"/>
      <w:kern w:val="21"/>
      <w:szCs w:val="21"/>
    </w:rPr>
  </w:style>
  <w:style w:type="paragraph" w:customStyle="1" w:styleId="13">
    <w:name w:val="章"/>
    <w:basedOn w:val="1"/>
    <w:link w:val="14"/>
    <w:uiPriority w:val="0"/>
    <w:pPr>
      <w:spacing w:beforeLines="50" w:afterLines="50" w:line="340" w:lineRule="exact"/>
    </w:pPr>
    <w:rPr>
      <w:rFonts w:ascii="黑体" w:hAnsi="宋体" w:eastAsia="黑体" w:cs="Times New Roman"/>
      <w:spacing w:val="4"/>
      <w:szCs w:val="21"/>
    </w:rPr>
  </w:style>
  <w:style w:type="character" w:customStyle="1" w:styleId="14">
    <w:name w:val="章 Char1"/>
    <w:basedOn w:val="7"/>
    <w:link w:val="13"/>
    <w:qFormat/>
    <w:uiPriority w:val="0"/>
    <w:rPr>
      <w:rFonts w:ascii="黑体" w:hAnsi="宋体" w:eastAsia="黑体" w:cs="Times New Roman"/>
      <w:spacing w:val="4"/>
      <w:szCs w:val="21"/>
    </w:rPr>
  </w:style>
  <w:style w:type="paragraph" w:customStyle="1" w:styleId="15">
    <w:name w:val="节"/>
    <w:basedOn w:val="13"/>
    <w:link w:val="16"/>
    <w:qFormat/>
    <w:uiPriority w:val="0"/>
    <w:pPr>
      <w:adjustRightInd w:val="0"/>
      <w:snapToGrid w:val="0"/>
      <w:spacing w:beforeLines="0" w:afterLines="0"/>
    </w:pPr>
    <w:rPr>
      <w:kern w:val="0"/>
      <w:szCs w:val="20"/>
    </w:rPr>
  </w:style>
  <w:style w:type="character" w:customStyle="1" w:styleId="16">
    <w:name w:val="节 Char"/>
    <w:link w:val="15"/>
    <w:qFormat/>
    <w:locked/>
    <w:uiPriority w:val="0"/>
    <w:rPr>
      <w:rFonts w:ascii="黑体" w:hAnsi="宋体" w:eastAsia="黑体" w:cs="Times New Roman"/>
      <w:spacing w:val="4"/>
      <w:kern w:val="0"/>
      <w:szCs w:val="20"/>
    </w:rPr>
  </w:style>
  <w:style w:type="paragraph" w:customStyle="1" w:styleId="17">
    <w:name w:val="表头"/>
    <w:basedOn w:val="1"/>
    <w:qFormat/>
    <w:uiPriority w:val="99"/>
    <w:pPr>
      <w:keepNext/>
      <w:keepLines/>
      <w:spacing w:before="120" w:afterLines="25" w:line="340" w:lineRule="exact"/>
      <w:jc w:val="center"/>
      <w:outlineLvl w:val="2"/>
    </w:pPr>
    <w:rPr>
      <w:rFonts w:ascii="黑体" w:hAnsi="黑体" w:eastAsia="黑体" w:cs="Times New Roman"/>
      <w:bCs/>
      <w:color w:val="000000"/>
      <w:spacing w:val="4"/>
      <w:szCs w:val="21"/>
    </w:rPr>
  </w:style>
  <w:style w:type="paragraph" w:customStyle="1" w:styleId="18">
    <w:name w:val="段+正文+缩进：2字符"/>
    <w:basedOn w:val="1"/>
    <w:uiPriority w:val="0"/>
    <w:pPr>
      <w:ind w:firstLine="4200" w:firstLineChars="2000"/>
    </w:pPr>
    <w:rPr>
      <w:rFonts w:ascii="Calibri" w:hAnsi="Calibri" w:eastAsia="宋体" w:cs="Times New Roman"/>
      <w:szCs w:val="28"/>
    </w:rPr>
  </w:style>
  <w:style w:type="character" w:customStyle="1" w:styleId="19">
    <w:name w:val="批注文字 字符"/>
    <w:basedOn w:val="7"/>
    <w:link w:val="2"/>
    <w:qFormat/>
    <w:uiPriority w:val="0"/>
    <w:rPr>
      <w:rFonts w:ascii="Times" w:hAnsi="Times" w:eastAsia="宋体" w:cs="Times New Roman"/>
      <w:kern w:val="0"/>
      <w:sz w:val="24"/>
      <w:szCs w:val="24"/>
    </w:rPr>
  </w:style>
  <w:style w:type="character" w:customStyle="1" w:styleId="20">
    <w:name w:val="批注框文本 字符"/>
    <w:basedOn w:val="7"/>
    <w:link w:val="3"/>
    <w:autoRedefine/>
    <w:semiHidden/>
    <w:qFormat/>
    <w:uiPriority w:val="99"/>
    <w:rPr>
      <w:sz w:val="18"/>
      <w:szCs w:val="18"/>
    </w:rPr>
  </w:style>
  <w:style w:type="paragraph" w:customStyle="1" w:styleId="21">
    <w:name w:val="项目1"/>
    <w:basedOn w:val="1"/>
    <w:link w:val="22"/>
    <w:qFormat/>
    <w:uiPriority w:val="0"/>
    <w:pPr>
      <w:adjustRightInd w:val="0"/>
      <w:spacing w:line="340" w:lineRule="exact"/>
      <w:ind w:left="400" w:leftChars="200" w:hanging="200" w:hangingChars="200"/>
    </w:pPr>
    <w:rPr>
      <w:rFonts w:ascii="Times New Roman" w:hAnsi="Times New Roman" w:eastAsia="宋体" w:cs="Times New Roman"/>
      <w:spacing w:val="4"/>
      <w:szCs w:val="21"/>
    </w:rPr>
  </w:style>
  <w:style w:type="character" w:customStyle="1" w:styleId="22">
    <w:name w:val="项目1 Char"/>
    <w:basedOn w:val="7"/>
    <w:link w:val="21"/>
    <w:qFormat/>
    <w:uiPriority w:val="0"/>
    <w:rPr>
      <w:rFonts w:ascii="Times New Roman" w:hAnsi="Times New Roman" w:eastAsia="宋体" w:cs="Times New Roman"/>
      <w:spacing w:val="4"/>
      <w:szCs w:val="21"/>
    </w:rPr>
  </w:style>
  <w:style w:type="character" w:customStyle="1" w:styleId="23">
    <w:name w:val="页眉 字符"/>
    <w:basedOn w:val="7"/>
    <w:link w:val="5"/>
    <w:semiHidden/>
    <w:qFormat/>
    <w:uiPriority w:val="99"/>
    <w:rPr>
      <w:sz w:val="18"/>
      <w:szCs w:val="18"/>
    </w:rPr>
  </w:style>
  <w:style w:type="character" w:customStyle="1" w:styleId="24">
    <w:name w:val="页脚 字符"/>
    <w:basedOn w:val="7"/>
    <w:link w:val="4"/>
    <w:autoRedefine/>
    <w:semiHidden/>
    <w:qFormat/>
    <w:uiPriority w:val="99"/>
    <w:rPr>
      <w:sz w:val="18"/>
      <w:szCs w:val="18"/>
    </w:rPr>
  </w:style>
  <w:style w:type="paragraph" w:customStyle="1" w:styleId="25">
    <w:name w:val="Default"/>
    <w:uiPriority w:val="0"/>
    <w:pPr>
      <w:widowControl w:val="0"/>
      <w:autoSpaceDE w:val="0"/>
      <w:autoSpaceDN w:val="0"/>
      <w:adjustRightInd w:val="0"/>
    </w:pPr>
    <w:rPr>
      <w:rFonts w:ascii="Times New Roman" w:hAnsi="Times New Roman" w:cs="Times New Roman" w:eastAsiaTheme="minorEastAsia"/>
      <w:color w:val="000000"/>
      <w:sz w:val="24"/>
      <w:szCs w:val="24"/>
      <w:lang w:val="en-US" w:eastAsia="zh-CN" w:bidi="ar-SA"/>
    </w:rPr>
  </w:style>
  <w:style w:type="paragraph" w:styleId="2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10</Pages>
  <Words>7586</Words>
  <Characters>7989</Characters>
  <Lines>57</Lines>
  <Paragraphs>16</Paragraphs>
  <TotalTime>11</TotalTime>
  <ScaleCrop>false</ScaleCrop>
  <LinksUpToDate>false</LinksUpToDate>
  <CharactersWithSpaces>8043</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2024-09-03T16:23:00Z</dcterms:created>
  <dc:creator>邵珊珊</dc:creator>
  <cp:lastModifiedBy>吴肖</cp:lastModifiedBy>
  <cp:lastPrinted>2017-11-15T22:28:00Z</cp:lastPrinted>
  <dcterms:modified xsi:type="dcterms:W3CDTF">2024-09-05T08:30:58Z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8BDF30F34B184D6EA018770AA5F6A309_13</vt:lpwstr>
  </property>
</Properties>
</file>